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30D" w:rsidRPr="0047530D" w:rsidRDefault="0047530D" w:rsidP="0047530D">
      <w:pPr>
        <w:pStyle w:val="a3"/>
        <w:jc w:val="both"/>
      </w:pPr>
      <w:r w:rsidRPr="0047530D">
        <w:rPr>
          <w:b/>
        </w:rPr>
        <w:t>Назва модуля</w:t>
      </w:r>
      <w:r w:rsidRPr="0047530D">
        <w:t xml:space="preserve">: </w:t>
      </w:r>
      <w:proofErr w:type="spellStart"/>
      <w:r w:rsidRPr="0047530D">
        <w:t>Компетентнісний</w:t>
      </w:r>
      <w:proofErr w:type="spellEnd"/>
      <w:r w:rsidRPr="0047530D">
        <w:t xml:space="preserve"> підхід до природничої освіти молодших школярів</w:t>
      </w:r>
    </w:p>
    <w:p w:rsidR="0047530D" w:rsidRPr="0047530D" w:rsidRDefault="0047530D" w:rsidP="0047530D">
      <w:pPr>
        <w:pStyle w:val="a3"/>
        <w:jc w:val="both"/>
      </w:pPr>
      <w:r w:rsidRPr="0047530D">
        <w:rPr>
          <w:b/>
        </w:rPr>
        <w:t>Код модуля</w:t>
      </w:r>
      <w:r w:rsidRPr="0047530D">
        <w:t>:НПП2.1.02</w:t>
      </w:r>
    </w:p>
    <w:p w:rsidR="0047530D" w:rsidRPr="0047530D" w:rsidRDefault="0047530D" w:rsidP="0047530D">
      <w:pPr>
        <w:pStyle w:val="a3"/>
        <w:jc w:val="both"/>
      </w:pPr>
      <w:r w:rsidRPr="0047530D">
        <w:rPr>
          <w:b/>
        </w:rPr>
        <w:t>Тип модуля</w:t>
      </w:r>
      <w:r w:rsidRPr="0047530D">
        <w:t>: обов’язковий</w:t>
      </w:r>
    </w:p>
    <w:p w:rsidR="0047530D" w:rsidRPr="0047530D" w:rsidRDefault="0047530D" w:rsidP="0047530D">
      <w:pPr>
        <w:pStyle w:val="a3"/>
        <w:jc w:val="both"/>
        <w:rPr>
          <w:b/>
        </w:rPr>
      </w:pPr>
      <w:r w:rsidRPr="0047530D">
        <w:rPr>
          <w:b/>
        </w:rPr>
        <w:t xml:space="preserve">Семестр: </w:t>
      </w:r>
      <w:r w:rsidRPr="0047530D">
        <w:t>2</w:t>
      </w:r>
    </w:p>
    <w:p w:rsidR="0047530D" w:rsidRPr="0047530D" w:rsidRDefault="0047530D" w:rsidP="0047530D">
      <w:pPr>
        <w:pStyle w:val="a3"/>
        <w:jc w:val="both"/>
        <w:rPr>
          <w:b/>
        </w:rPr>
      </w:pPr>
      <w:r w:rsidRPr="0047530D">
        <w:rPr>
          <w:b/>
        </w:rPr>
        <w:t xml:space="preserve">Обсяг модуля: </w:t>
      </w:r>
      <w:r w:rsidRPr="0047530D">
        <w:t>загальна кількість годин – 120 ( кредитів ЄКТС – 4),</w:t>
      </w:r>
    </w:p>
    <w:p w:rsidR="0047530D" w:rsidRPr="0047530D" w:rsidRDefault="0047530D" w:rsidP="0047530D">
      <w:pPr>
        <w:pStyle w:val="a3"/>
        <w:jc w:val="both"/>
      </w:pPr>
      <w:r w:rsidRPr="0047530D">
        <w:t xml:space="preserve">аудиторні години – 40(лекції – 16 год., практичні заняття – 24 год.) </w:t>
      </w:r>
    </w:p>
    <w:p w:rsidR="0047530D" w:rsidRPr="0047530D" w:rsidRDefault="0047530D" w:rsidP="0047530D">
      <w:pPr>
        <w:pStyle w:val="a3"/>
        <w:jc w:val="both"/>
        <w:rPr>
          <w:b/>
        </w:rPr>
      </w:pPr>
      <w:r w:rsidRPr="0047530D">
        <w:rPr>
          <w:b/>
        </w:rPr>
        <w:t>Лектор:</w:t>
      </w:r>
      <w:r w:rsidRPr="0047530D">
        <w:t xml:space="preserve"> </w:t>
      </w:r>
      <w:proofErr w:type="spellStart"/>
      <w:r w:rsidRPr="0047530D">
        <w:t>к.п.н</w:t>
      </w:r>
      <w:proofErr w:type="spellEnd"/>
      <w:r w:rsidRPr="0047530D">
        <w:t xml:space="preserve">., доцент </w:t>
      </w:r>
      <w:proofErr w:type="spellStart"/>
      <w:r w:rsidRPr="0047530D">
        <w:t>Грітченко</w:t>
      </w:r>
      <w:proofErr w:type="spellEnd"/>
      <w:r w:rsidRPr="0047530D">
        <w:t xml:space="preserve"> Тетяна Яківна</w:t>
      </w:r>
    </w:p>
    <w:p w:rsidR="0047530D" w:rsidRPr="0047530D" w:rsidRDefault="0047530D" w:rsidP="0047530D">
      <w:pPr>
        <w:pStyle w:val="a3"/>
        <w:jc w:val="both"/>
        <w:rPr>
          <w:b/>
        </w:rPr>
      </w:pPr>
      <w:r w:rsidRPr="0047530D">
        <w:rPr>
          <w:b/>
        </w:rPr>
        <w:t>Результати навчання:</w:t>
      </w:r>
    </w:p>
    <w:p w:rsidR="0047530D" w:rsidRPr="0047530D" w:rsidRDefault="0047530D" w:rsidP="0047530D">
      <w:pPr>
        <w:pStyle w:val="a3"/>
        <w:spacing w:line="360" w:lineRule="auto"/>
        <w:ind w:firstLine="709"/>
        <w:jc w:val="both"/>
      </w:pPr>
      <w:r w:rsidRPr="0047530D">
        <w:t>У результаті вивчення модуля студент повинен:</w:t>
      </w:r>
    </w:p>
    <w:p w:rsidR="0047530D" w:rsidRPr="0047530D" w:rsidRDefault="0047530D" w:rsidP="0047530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47530D">
        <w:rPr>
          <w:b/>
        </w:rPr>
        <w:t>знати:</w:t>
      </w:r>
      <w:r w:rsidRPr="0047530D">
        <w:t xml:space="preserve"> принципи відбору змісту природничої освіти молодших школярів на засадах </w:t>
      </w:r>
      <w:proofErr w:type="spellStart"/>
      <w:r w:rsidRPr="0047530D">
        <w:t>компетентнісного</w:t>
      </w:r>
      <w:proofErr w:type="spellEnd"/>
      <w:r w:rsidRPr="0047530D">
        <w:t xml:space="preserve"> підходу; чинники успішного формування </w:t>
      </w:r>
      <w:proofErr w:type="spellStart"/>
      <w:r w:rsidRPr="0047530D">
        <w:t>природничонаукових</w:t>
      </w:r>
      <w:proofErr w:type="spellEnd"/>
      <w:r w:rsidRPr="0047530D">
        <w:t xml:space="preserve"> </w:t>
      </w:r>
      <w:proofErr w:type="spellStart"/>
      <w:r w:rsidRPr="0047530D">
        <w:t>компетенцій</w:t>
      </w:r>
      <w:proofErr w:type="spellEnd"/>
      <w:r w:rsidRPr="0047530D">
        <w:t xml:space="preserve"> учнів початкової школи; закономірності формування </w:t>
      </w:r>
      <w:proofErr w:type="spellStart"/>
      <w:r w:rsidRPr="0047530D">
        <w:t>природничонаукових</w:t>
      </w:r>
      <w:proofErr w:type="spellEnd"/>
      <w:r w:rsidRPr="0047530D">
        <w:t xml:space="preserve"> </w:t>
      </w:r>
      <w:proofErr w:type="spellStart"/>
      <w:r w:rsidRPr="0047530D">
        <w:t>компетенцій</w:t>
      </w:r>
      <w:proofErr w:type="spellEnd"/>
      <w:r w:rsidRPr="0047530D">
        <w:t xml:space="preserve"> молодших школярів, зміст компонентів </w:t>
      </w:r>
      <w:proofErr w:type="spellStart"/>
      <w:r w:rsidRPr="0047530D">
        <w:t>природничонаукової</w:t>
      </w:r>
      <w:proofErr w:type="spellEnd"/>
      <w:r w:rsidRPr="0047530D">
        <w:t xml:space="preserve"> компетентності; технологію формування </w:t>
      </w:r>
      <w:proofErr w:type="spellStart"/>
      <w:r w:rsidRPr="0047530D">
        <w:t>природничонаукових</w:t>
      </w:r>
      <w:proofErr w:type="spellEnd"/>
      <w:r w:rsidRPr="0047530D">
        <w:t xml:space="preserve"> </w:t>
      </w:r>
      <w:proofErr w:type="spellStart"/>
      <w:r w:rsidRPr="0047530D">
        <w:t>компетенцій</w:t>
      </w:r>
      <w:proofErr w:type="spellEnd"/>
      <w:r w:rsidRPr="0047530D">
        <w:t xml:space="preserve"> молодшого школяра.</w:t>
      </w:r>
    </w:p>
    <w:p w:rsidR="0047530D" w:rsidRPr="0047530D" w:rsidRDefault="0047530D" w:rsidP="0047530D">
      <w:pPr>
        <w:tabs>
          <w:tab w:val="left" w:pos="1985"/>
        </w:tabs>
        <w:ind w:firstLine="709"/>
        <w:jc w:val="both"/>
        <w:rPr>
          <w:color w:val="000000"/>
          <w:sz w:val="28"/>
          <w:szCs w:val="28"/>
        </w:rPr>
      </w:pPr>
      <w:r w:rsidRPr="0047530D">
        <w:rPr>
          <w:b/>
          <w:sz w:val="28"/>
          <w:szCs w:val="28"/>
        </w:rPr>
        <w:t>уміти:</w:t>
      </w:r>
      <w:r w:rsidRPr="0047530D">
        <w:rPr>
          <w:sz w:val="28"/>
          <w:szCs w:val="28"/>
        </w:rPr>
        <w:t xml:space="preserve"> </w:t>
      </w:r>
      <w:r w:rsidRPr="0047530D">
        <w:rPr>
          <w:color w:val="000000"/>
          <w:sz w:val="28"/>
          <w:szCs w:val="28"/>
          <w:lang w:eastAsia="uk-UA"/>
        </w:rPr>
        <w:t xml:space="preserve">формувати ключові </w:t>
      </w:r>
      <w:proofErr w:type="spellStart"/>
      <w:r w:rsidRPr="0047530D">
        <w:rPr>
          <w:sz w:val="28"/>
          <w:szCs w:val="28"/>
        </w:rPr>
        <w:t>природничонаукові</w:t>
      </w:r>
      <w:proofErr w:type="spellEnd"/>
      <w:r w:rsidRPr="0047530D">
        <w:rPr>
          <w:sz w:val="28"/>
          <w:szCs w:val="28"/>
        </w:rPr>
        <w:t xml:space="preserve"> </w:t>
      </w:r>
      <w:r w:rsidRPr="0047530D">
        <w:rPr>
          <w:color w:val="000000"/>
          <w:sz w:val="28"/>
          <w:szCs w:val="28"/>
          <w:lang w:eastAsia="uk-UA"/>
        </w:rPr>
        <w:t>компетентності</w:t>
      </w:r>
      <w:r w:rsidRPr="0047530D">
        <w:rPr>
          <w:sz w:val="28"/>
          <w:szCs w:val="28"/>
        </w:rPr>
        <w:t xml:space="preserve"> молодших школярів</w:t>
      </w:r>
      <w:r w:rsidRPr="0047530D">
        <w:rPr>
          <w:color w:val="000000"/>
          <w:sz w:val="28"/>
          <w:szCs w:val="28"/>
          <w:lang w:eastAsia="uk-UA"/>
        </w:rPr>
        <w:t xml:space="preserve">; використовувати </w:t>
      </w:r>
      <w:proofErr w:type="spellStart"/>
      <w:r w:rsidRPr="0047530D">
        <w:rPr>
          <w:color w:val="000000"/>
          <w:sz w:val="28"/>
          <w:szCs w:val="28"/>
          <w:lang w:eastAsia="uk-UA"/>
        </w:rPr>
        <w:t>компетентнісні</w:t>
      </w:r>
      <w:proofErr w:type="spellEnd"/>
      <w:r w:rsidRPr="0047530D">
        <w:rPr>
          <w:color w:val="000000"/>
          <w:sz w:val="28"/>
          <w:szCs w:val="28"/>
          <w:lang w:eastAsia="uk-UA"/>
        </w:rPr>
        <w:t xml:space="preserve"> форми навчання молодших школярів (індивідуальні, парні, групові і колективні у різних поєднаннях); </w:t>
      </w:r>
      <w:r w:rsidRPr="0047530D">
        <w:rPr>
          <w:color w:val="000000"/>
          <w:sz w:val="28"/>
          <w:szCs w:val="28"/>
        </w:rPr>
        <w:t xml:space="preserve">організовувати пізнавальну діяльність учнів, використовуючи пошукові методи навчання, сучасні технології, спрямовані на  розкриття і включення </w:t>
      </w:r>
      <w:r w:rsidRPr="0047530D">
        <w:rPr>
          <w:color w:val="000000"/>
          <w:sz w:val="28"/>
          <w:szCs w:val="28"/>
          <w:lang w:eastAsia="uk-UA"/>
        </w:rPr>
        <w:t xml:space="preserve">у навчальний процес особистісного досвіду учнів; включати в уроки природознавства завдання </w:t>
      </w:r>
      <w:proofErr w:type="spellStart"/>
      <w:r w:rsidRPr="0047530D">
        <w:rPr>
          <w:color w:val="000000"/>
          <w:sz w:val="28"/>
          <w:szCs w:val="28"/>
          <w:lang w:eastAsia="uk-UA"/>
        </w:rPr>
        <w:t>компетентнісного</w:t>
      </w:r>
      <w:proofErr w:type="spellEnd"/>
      <w:r w:rsidRPr="0047530D">
        <w:rPr>
          <w:color w:val="000000"/>
          <w:sz w:val="28"/>
          <w:szCs w:val="28"/>
          <w:lang w:eastAsia="uk-UA"/>
        </w:rPr>
        <w:t xml:space="preserve"> характеру: завдання, що вимагають від учня застосування знань у незнайомій ситуації, завдання з елементами пошукової і дослідницької діяльності, багатоопераційні завдання тощо.</w:t>
      </w:r>
    </w:p>
    <w:p w:rsidR="0047530D" w:rsidRPr="0047530D" w:rsidRDefault="0047530D" w:rsidP="0047530D">
      <w:pPr>
        <w:pStyle w:val="a3"/>
        <w:ind w:left="720"/>
        <w:jc w:val="both"/>
      </w:pPr>
      <w:r w:rsidRPr="0047530D">
        <w:rPr>
          <w:b/>
        </w:rPr>
        <w:t xml:space="preserve">Спосіб навчання : </w:t>
      </w:r>
      <w:r w:rsidRPr="0047530D">
        <w:t>аудиторні заняття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9.</w:t>
      </w: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ab/>
        <w:t xml:space="preserve">Необхідні обов'язкові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попередні та супутні модулі: педагогіка; природознавство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10.</w:t>
      </w: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ab/>
        <w:t xml:space="preserve"> Зміст навчального модуля:</w:t>
      </w:r>
    </w:p>
    <w:p w:rsidR="0047530D" w:rsidRPr="0047530D" w:rsidRDefault="0047530D" w:rsidP="0047530D">
      <w:pPr>
        <w:widowControl w:val="0"/>
        <w:tabs>
          <w:tab w:val="left" w:pos="2790"/>
          <w:tab w:val="left" w:pos="5526"/>
          <w:tab w:val="left" w:pos="6971"/>
          <w:tab w:val="left" w:pos="9155"/>
        </w:tabs>
        <w:spacing w:line="322" w:lineRule="exact"/>
        <w:ind w:firstLine="360"/>
        <w:rPr>
          <w:sz w:val="28"/>
          <w:szCs w:val="28"/>
        </w:rPr>
      </w:pPr>
      <w:proofErr w:type="spellStart"/>
      <w:r w:rsidRPr="0047530D">
        <w:rPr>
          <w:color w:val="000000"/>
          <w:sz w:val="28"/>
          <w:szCs w:val="28"/>
        </w:rPr>
        <w:t>Компетентнісний</w:t>
      </w:r>
      <w:proofErr w:type="spellEnd"/>
      <w:r w:rsidRPr="0047530D">
        <w:rPr>
          <w:color w:val="000000"/>
          <w:sz w:val="28"/>
          <w:szCs w:val="28"/>
        </w:rPr>
        <w:t xml:space="preserve"> підхід - нова модель освіти в Україні. Навчання молодших школярів на засадах </w:t>
      </w:r>
      <w:proofErr w:type="spellStart"/>
      <w:r w:rsidRPr="0047530D">
        <w:rPr>
          <w:color w:val="000000"/>
          <w:sz w:val="28"/>
          <w:szCs w:val="28"/>
        </w:rPr>
        <w:t>компетентнісного</w:t>
      </w:r>
      <w:proofErr w:type="spellEnd"/>
      <w:r w:rsidRPr="0047530D">
        <w:rPr>
          <w:color w:val="000000"/>
          <w:sz w:val="28"/>
          <w:szCs w:val="28"/>
        </w:rPr>
        <w:t xml:space="preserve"> підходу. Сутність та структура природознавчої компетентності учня початкової школи. Сутність, функції та основні види контролю успішності молодших школярів на засадах </w:t>
      </w:r>
      <w:proofErr w:type="spellStart"/>
      <w:r w:rsidRPr="0047530D">
        <w:rPr>
          <w:color w:val="000000"/>
          <w:sz w:val="28"/>
          <w:szCs w:val="28"/>
        </w:rPr>
        <w:t>компетентнісного</w:t>
      </w:r>
      <w:proofErr w:type="spellEnd"/>
      <w:r w:rsidRPr="0047530D">
        <w:rPr>
          <w:color w:val="000000"/>
          <w:sz w:val="28"/>
          <w:szCs w:val="28"/>
        </w:rPr>
        <w:t xml:space="preserve"> підходу. Особливості перевірки знань і умінь учнів на уроках природознавства в умовах </w:t>
      </w:r>
      <w:proofErr w:type="spellStart"/>
      <w:r w:rsidRPr="0047530D">
        <w:rPr>
          <w:color w:val="000000"/>
          <w:sz w:val="28"/>
          <w:szCs w:val="28"/>
        </w:rPr>
        <w:t>компетентнісної</w:t>
      </w:r>
      <w:proofErr w:type="spellEnd"/>
      <w:r w:rsidRPr="0047530D">
        <w:rPr>
          <w:color w:val="000000"/>
          <w:sz w:val="28"/>
          <w:szCs w:val="28"/>
        </w:rPr>
        <w:t xml:space="preserve"> освіти. Нові критерії оцінювання результатів навчально-пізнавальної діяльності учнів на уроках природознавства.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/>
          <w:bCs/>
          <w:color w:val="000000"/>
          <w:sz w:val="28"/>
          <w:szCs w:val="28"/>
          <w:shd w:val="clear" w:color="auto" w:fill="FFFFFF"/>
          <w:lang w:val="ru-RU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11. Рекомендована </w:t>
      </w:r>
      <w:proofErr w:type="spellStart"/>
      <w:proofErr w:type="gramStart"/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  <w:lang w:val="ru-RU"/>
        </w:rPr>
        <w:t>л</w:t>
      </w:r>
      <w:proofErr w:type="gramEnd"/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  <w:lang w:val="ru-RU"/>
        </w:rPr>
        <w:t>ітература</w:t>
      </w:r>
      <w:proofErr w:type="spellEnd"/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  <w:lang w:val="ru-RU"/>
        </w:rPr>
        <w:t>:</w:t>
      </w:r>
    </w:p>
    <w:p w:rsidR="0047530D" w:rsidRPr="0047530D" w:rsidRDefault="0047530D" w:rsidP="0047530D">
      <w:pPr>
        <w:numPr>
          <w:ilvl w:val="0"/>
          <w:numId w:val="2"/>
        </w:num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Байбара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 Т.М. Методика навчання природознавства в початкових класах: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. посібник / Т.М.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Байбара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. - К. : Веселка, 1998. - 334 с.</w:t>
      </w:r>
    </w:p>
    <w:p w:rsidR="0047530D" w:rsidRPr="0047530D" w:rsidRDefault="0047530D" w:rsidP="0047530D">
      <w:pPr>
        <w:numPr>
          <w:ilvl w:val="0"/>
          <w:numId w:val="2"/>
        </w:num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lastRenderedPageBreak/>
        <w:t xml:space="preserve">Біда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de-DE"/>
        </w:rPr>
        <w:t xml:space="preserve">O.A.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Природознавство і сільськогосподарська праця: Методика викладання: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посібник для студентів пед.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ф-тів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 вищих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. закладів та класово дів / О. А. Біда. - Київ; Ірпінь: ВТФ «Перун», 2000. - с. 400.</w:t>
      </w:r>
    </w:p>
    <w:p w:rsidR="0047530D" w:rsidRPr="0047530D" w:rsidRDefault="0047530D" w:rsidP="0047530D">
      <w:pPr>
        <w:numPr>
          <w:ilvl w:val="0"/>
          <w:numId w:val="2"/>
        </w:num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Біда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de-DE"/>
        </w:rPr>
        <w:t xml:space="preserve">O.A.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«Я і Україна» та сільськогосподарська праця: методика викладання (теоретичні основи) :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навч.-метод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посіб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[для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студ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пед.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ф-тів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вищ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закл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та класоводів] / Біда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de-DE"/>
        </w:rPr>
        <w:t xml:space="preserve">O.A.,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Прокопенко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de-DE"/>
        </w:rPr>
        <w:t xml:space="preserve">JI.I.,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Бугакова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de-DE"/>
        </w:rPr>
        <w:t xml:space="preserve">JT.O. -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Черкаси: Вид-во ЧНУ ім. Богдана Хмельницького, 2007. -516 с.</w:t>
      </w:r>
    </w:p>
    <w:p w:rsidR="0047530D" w:rsidRPr="0047530D" w:rsidRDefault="0047530D" w:rsidP="0047530D">
      <w:pPr>
        <w:numPr>
          <w:ilvl w:val="0"/>
          <w:numId w:val="2"/>
        </w:num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ru-RU"/>
        </w:rPr>
        <w:t xml:space="preserve">Волкова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Н. П. Педагогіка: </w:t>
      </w:r>
      <w:proofErr w:type="spellStart"/>
      <w:proofErr w:type="gram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пос</w:t>
      </w:r>
      <w:proofErr w:type="gram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іб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[для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студ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вищ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навч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закл</w:t>
      </w:r>
      <w:proofErr w:type="spellEnd"/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.] / Наталія Павлівна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ru-RU"/>
        </w:rPr>
        <w:t xml:space="preserve">Волкова.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 xml:space="preserve">-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  <w:lang w:val="ru-RU"/>
        </w:rPr>
        <w:t xml:space="preserve">К.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: Видавничий центр «Академія», 2001. - 576 с.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12.</w:t>
      </w: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ab/>
        <w:t xml:space="preserve">Форми та методи навчання: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лекції, практичні заняття, самостійна робота.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13.</w:t>
      </w: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ab/>
        <w:t>Методи та критерії оцінювання: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•</w:t>
      </w: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ab/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Поточний контроль (80%): опитування на практичних заняттях, виконання домашніх завдань.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•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ab/>
        <w:t>Підсумковий контроль (20%, залік): теоретичне опитування</w:t>
      </w:r>
    </w:p>
    <w:p w:rsidR="0047530D" w:rsidRPr="0047530D" w:rsidRDefault="0047530D" w:rsidP="0047530D">
      <w:pPr>
        <w:spacing w:line="276" w:lineRule="auto"/>
        <w:contextualSpacing/>
        <w:rPr>
          <w:rFonts w:eastAsia="Arial Unicode MS"/>
          <w:bCs/>
          <w:color w:val="000000"/>
          <w:sz w:val="28"/>
          <w:szCs w:val="28"/>
          <w:shd w:val="clear" w:color="auto" w:fill="FFFFFF"/>
        </w:rPr>
      </w:pP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>14.</w:t>
      </w:r>
      <w:r w:rsidRPr="0047530D">
        <w:rPr>
          <w:rFonts w:eastAsia="Arial Unicode MS"/>
          <w:b/>
          <w:bCs/>
          <w:color w:val="000000"/>
          <w:sz w:val="28"/>
          <w:szCs w:val="28"/>
          <w:shd w:val="clear" w:color="auto" w:fill="FFFFFF"/>
        </w:rPr>
        <w:tab/>
        <w:t xml:space="preserve">Мова навчання: </w:t>
      </w:r>
      <w:r w:rsidRPr="0047530D">
        <w:rPr>
          <w:rFonts w:eastAsia="Arial Unicode MS"/>
          <w:bCs/>
          <w:color w:val="000000"/>
          <w:sz w:val="28"/>
          <w:szCs w:val="28"/>
          <w:shd w:val="clear" w:color="auto" w:fill="FFFFFF"/>
        </w:rPr>
        <w:t>українська</w:t>
      </w:r>
    </w:p>
    <w:p w:rsidR="0047530D" w:rsidRDefault="0047530D" w:rsidP="0047530D">
      <w:pPr>
        <w:spacing w:line="276" w:lineRule="auto"/>
        <w:contextualSpacing/>
        <w:rPr>
          <w:rFonts w:ascii="Arial" w:eastAsia="Arial Unicode MS" w:hAnsi="Arial" w:cs="Arial"/>
          <w:b/>
          <w:bCs/>
          <w:color w:val="000000"/>
          <w:shd w:val="clear" w:color="auto" w:fill="FFFFFF"/>
        </w:rPr>
      </w:pPr>
    </w:p>
    <w:p w:rsidR="00694F1E" w:rsidRDefault="00694F1E"/>
    <w:sectPr w:rsidR="00694F1E" w:rsidSect="0069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B67"/>
    <w:multiLevelType w:val="multilevel"/>
    <w:tmpl w:val="06CC3F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274ED4"/>
    <w:multiLevelType w:val="hybridMultilevel"/>
    <w:tmpl w:val="A8485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7530D"/>
    <w:rsid w:val="000C3156"/>
    <w:rsid w:val="001B39D0"/>
    <w:rsid w:val="00293CC6"/>
    <w:rsid w:val="0030274C"/>
    <w:rsid w:val="0047530D"/>
    <w:rsid w:val="004E66E0"/>
    <w:rsid w:val="005176F7"/>
    <w:rsid w:val="00627F35"/>
    <w:rsid w:val="0067430B"/>
    <w:rsid w:val="00694F1E"/>
    <w:rsid w:val="006D1EEE"/>
    <w:rsid w:val="007F42DA"/>
    <w:rsid w:val="008018EC"/>
    <w:rsid w:val="00807EC9"/>
    <w:rsid w:val="008C65C3"/>
    <w:rsid w:val="00920EBD"/>
    <w:rsid w:val="00987327"/>
    <w:rsid w:val="00A01896"/>
    <w:rsid w:val="00BE1E64"/>
    <w:rsid w:val="00C027D4"/>
    <w:rsid w:val="00C61A6A"/>
    <w:rsid w:val="00CD6369"/>
    <w:rsid w:val="00E4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30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30D"/>
    <w:rPr>
      <w:rFonts w:ascii="Times New Roman" w:eastAsia="Calibri" w:hAnsi="Times New Roman" w:cs="Times New Roman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Company>Microsoft</Company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ТПН</dc:creator>
  <cp:keywords/>
  <dc:description/>
  <cp:lastModifiedBy>Кафедра ТПН</cp:lastModifiedBy>
  <cp:revision>2</cp:revision>
  <dcterms:created xsi:type="dcterms:W3CDTF">2016-12-12T13:33:00Z</dcterms:created>
  <dcterms:modified xsi:type="dcterms:W3CDTF">2016-12-12T13:34:00Z</dcterms:modified>
</cp:coreProperties>
</file>