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УДК 378.14                                                                                       </w:t>
      </w: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Лидия Кондрашова</w:t>
      </w:r>
    </w:p>
    <w:p>
      <w:pPr>
        <w:spacing w:before="100" w:after="10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УПРАВЛЕННИЕ И САМОУПРАВЛЕНИЕ КАК СРЕДСТВО ЭФФЕКТИВНОГО ПРОФЕССИОНАЛЬНОГО САМОРАЗВИТИЯ ЛИЧНОСТИ БУДУЩЕГО УЧИТЕЛЯ </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Постановка проблемы исследования.</w:t>
      </w:r>
      <w:r>
        <w:rPr>
          <w:rFonts w:ascii="Times New Roman" w:hAnsi="Times New Roman" w:cs="Times New Roman" w:eastAsia="Times New Roman"/>
          <w:color w:val="auto"/>
          <w:spacing w:val="0"/>
          <w:position w:val="0"/>
          <w:sz w:val="28"/>
          <w:shd w:fill="auto" w:val="clear"/>
        </w:rPr>
        <w:t xml:space="preserve">  Внимание ученых сосредосточено сегодня на поиске резервов высшей школы в формировании профессионального облика современного учителя. Специфика системы педагогического образования состоит в том, что она призвана не только вооружать знаниями, но и совершенствовать профессионально-нравственный потенциал учителя, обеспечивать возможности для профессионального саморазвития его личности.</w:t>
      </w:r>
    </w:p>
    <w:p>
      <w:pPr>
        <w:spacing w:before="100" w:after="10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Анализ последних исследований и публикаций. </w:t>
      </w:r>
      <w:r>
        <w:rPr>
          <w:rFonts w:ascii="Times New Roman" w:hAnsi="Times New Roman" w:cs="Times New Roman" w:eastAsia="Times New Roman"/>
          <w:color w:val="auto"/>
          <w:spacing w:val="0"/>
          <w:position w:val="0"/>
          <w:sz w:val="28"/>
          <w:shd w:fill="auto" w:val="clear"/>
        </w:rPr>
        <w:t xml:space="preserve">Интерес ученых всегда был направлен на развитие личности (О.Асмолов, Л.Выготский, В.Давыдов, О.Леонтьев, В.Рубцов и др.). Методологические основы саморазвития личности получили раскрытие в работах И.Беха, О.Газманова, О.Киричук, Б.Кобзаря, Л.Куликова. Проблемам личности большое внимание в своих работах уделяли Р.Бернс, А.Маслоу, К.Роджерс. Управленческому аспекту воспитательной деятельности посвящены работы В.Афанасьева, Г.Ельниковой, В.Маслова, М.Поташника, Т.Гребеник, Л.Калининой и др.</w:t>
      </w:r>
    </w:p>
    <w:p>
      <w:pPr>
        <w:spacing w:before="100" w:after="10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Проблема состоит в определении возможностей управления и самоуправления в повышении эффективности профессионального саморазвития личности будущих учителей.</w:t>
      </w:r>
    </w:p>
    <w:p>
      <w:pPr>
        <w:spacing w:before="0" w:after="20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 статьи. </w:t>
      </w:r>
      <w:r>
        <w:rPr>
          <w:rFonts w:ascii="Times New Roman" w:hAnsi="Times New Roman" w:cs="Times New Roman" w:eastAsia="Times New Roman"/>
          <w:color w:val="auto"/>
          <w:spacing w:val="0"/>
          <w:position w:val="0"/>
          <w:sz w:val="28"/>
          <w:shd w:fill="auto" w:val="clear"/>
        </w:rPr>
        <w:t xml:space="preserve">В статье разкрываются возможности управления и самоуправления в профессиональном саморазвитии личности  будущего учителя, их взаимосвязь и взаимообусловленность.</w:t>
      </w:r>
    </w:p>
    <w:p>
      <w:pPr>
        <w:spacing w:before="0" w:after="200" w:line="360"/>
        <w:ind w:right="141" w:left="-426"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Изложение основного материала исследования. </w:t>
      </w:r>
      <w:r>
        <w:rPr>
          <w:rFonts w:ascii="Times New Roman" w:hAnsi="Times New Roman" w:cs="Times New Roman" w:eastAsia="Times New Roman"/>
          <w:color w:val="auto"/>
          <w:spacing w:val="0"/>
          <w:position w:val="0"/>
          <w:sz w:val="28"/>
          <w:shd w:fill="auto" w:val="clear"/>
        </w:rPr>
        <w:t xml:space="preserve">Формирование профессионального облика современного учителя сопряжено с повышением внимания исследователей к вопросам саморазвития личности и поиску средств, оптимизирующих этот процесс. В условиях  необъяснимого сокращения аудиторних часов по всем исключительно учебным дисциплинам, изучаемым в высшей школе,  увеличение объема неконтролируемой со стороны преподавателя самостоятельной работы и низким уровнем готовности  к ней основной массы студентов актуализируются вопросы самообразования, самовоспитания и управление этими процессами.</w:t>
      </w:r>
    </w:p>
    <w:p>
      <w:pPr>
        <w:spacing w:before="0" w:after="200" w:line="36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последнее время вопросы управления и самоуправления различными педагогическими процесами, и в частности профессиональным саморазвитием личности, все больше становятся объектом исследования. Термин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управление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понимается как процесс целенаправленного воздействия руководящей системы на руководимую систему с целью ее эффективного функционирования и развития.</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Конаржевский определяет управление как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целенаправленное воздействие на объект с контролем и последующей коррекцией результатов</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с.32].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Сластенин  понимает управление как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деятельность, направленную  на выработку решений, организацию, контроль, регулирование объекта управления в соответствии с заданной целью, оценку и подведение итогов на основе достоверной информации</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482].</w:t>
      </w:r>
    </w:p>
    <w:p>
      <w:pPr>
        <w:spacing w:before="0" w:after="20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Берецков уверен в том, что необходим особый процесс, включающий целенаправленные действия педагога по формированию определенных знаний, умений, навыков  самообразовательной деятельности, культуры умственного труда, научной организации всей работы [2с.6-7].</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Айзенберг отмечает значимость управления самообразованием, понимая под  ним,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целенаправленное воздействие на содержание, формы и методы овладения знаниями самостоятельно занимающимися, выбор и использование ими источников научной и общекультурной информации</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с. 33]. </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Проблема управления процессом саморазвития личности будущего учителя нуждается в теоретическом обосновании, разработке содержания, методики и способов управления процессом подготовки студентов к саморазвитию собственной личности.</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Результативность этой деятельности определяется тем, насколько будущие учителя осознают значимость этого процесса для собственного профессионального становления, а преподаватели высшей школы готовы к управленческим действиям и выполнению управленческих функций по стимулированию студентов к профессиональному саморазвитию.</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Мы понимаем управление как совокупность скоординированных действий преподавателя по обеспечению условий, влияния, приемов и мероприятий, направленных на развитие у будущих учителей интереса и потребности в изменении собственной личности, совершенствовании профессионального облика в соответствии с постоянно меняющимися требованиями  педагогической профессии.</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Структурными компонентами управления подготовкой будущих учителей к систематической работе над собой выступают:</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организация взаимодействия педагогического процесса с самообразованием и самовоспитанием в системе университетского образования;</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разнообразие форм, методов и средств управления  учебно-воспитательным процессом и самовоспитанием в системе университетского образования;</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четкое  распределение управленческих и самоуправленческих функций между субъектами деятельности. </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Реализация названных структурных компонентов управления профессиональным саморазвитием будущих учителей предусматривает систему мер, а именно: а) разработку методических рекомендаций, набор инструкций, памяток, указаний по использованию различных источников информации, стимулирующих и активизирующих профессиональное саморазвитие; б) использование тренингов по развитию качеств, необходимых для творческого выполнения профессиональных функций; в) различных технологий профессионального саморазвития; г) различных  форм консультативной помощи и психологической поддержки студентам в  профессиональном саморазвитии.</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научной литературе обосновывается вопрос о тесном взаимодействии учебного процесса и профессионального саморазвития личности, управления и самоуправления этими процессами  как важных факторов профессионального становления  будущих учителей  в системе университетского образования  </w:t>
      </w:r>
    </w:p>
    <w:p>
      <w:pPr>
        <w:spacing w:before="0" w:after="20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Управление учебной деятельностью создает основу для самоуправления профессиональным саморазвитием будущих учителей. Управленческие действия преподавателей высшей школы направлены  на оказание помощи в усвоении теоретических знаний и набора учебных действий, ориентации в различных источниках информации для решения практических задач; развитие способности мыслить на основе научных понятий и освоенных теоретических положений; оптимально использовать интеллектуально-творческий потенциал в решении  профессиональных  проблем;  установки на творческую деятельность.</w:t>
      </w:r>
    </w:p>
    <w:p>
      <w:pPr>
        <w:tabs>
          <w:tab w:val="left" w:pos="720" w:leader="none"/>
        </w:tabs>
        <w:spacing w:before="0" w:after="20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полученные знания и способы работы в процессе учебной деятельности служат основанием для подготовки будущих учителей к самоуправлению собственным профессиональным развитием. Важно воздействовать на будущего учителя средствами и образом избранной профессии, что создает эмоционально-положительное отношение к ней, усиливает профессиональную направленность и готовность к систематической и целенаправленной работе по усовершенствованию собственного профессионального облика. </w:t>
      </w:r>
    </w:p>
    <w:p>
      <w:pPr>
        <w:tabs>
          <w:tab w:val="left" w:pos="720" w:leader="none"/>
        </w:tabs>
        <w:spacing w:before="0" w:after="20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Цель профессионального саморазвития</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динамична, подвижна, изменчива. Она постоянно уточняется, корректируется и конкретизируется в соответствии с изменяющимися условиями, возможностями и интересами личности будущего учителя. Но постоянным элементом в содержании цели выступает преобразование личностью самой себя, ее самоизменение, управление собственными действиями и поступками. Это выражается в новых знаниях, способах деятельности, взглядах и позиции личности, что приводит к изменению внутреннего ее образа. </w:t>
      </w:r>
    </w:p>
    <w:p>
      <w:pPr>
        <w:tabs>
          <w:tab w:val="left" w:pos="720" w:leader="none"/>
        </w:tabs>
        <w:spacing w:before="0" w:after="20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Самоизменение в научной литературе представляется как цикл процессов, направленных на решение практических задач, фиксацию допущенных ошибок, первичную рефлексию, фокусировку рефлексии на поиске причин неудач, осуществление фокусированной рефлексии, мотивационную мобилизацию на освоение способов, возврат к решению практической задачи и ее решение, фиксация наличия способности в объеме, требуемой задачей (О.Анисимов). Самоизменение личности выступает одной из главных целей профессионального саморазвития и его результатов.  </w:t>
      </w:r>
    </w:p>
    <w:p>
      <w:pPr>
        <w:tabs>
          <w:tab w:val="left" w:pos="720" w:leader="none"/>
        </w:tabs>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Основу профессионального саморазвития будущих учителей составляет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концепция.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концепция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ценностный образ собственного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личности; относительно постоянная, осознанная, переживаемая система представлений студента о самом себе, собственных  возможностях, на основе которых он строит свои отношения с педагогической действительностью, с другими участниками  педагогического процесса и воспринимает себя как будущего специалиста.</w:t>
      </w:r>
    </w:p>
    <w:p>
      <w:pPr>
        <w:tabs>
          <w:tab w:val="left" w:pos="720" w:leader="none"/>
        </w:tabs>
        <w:spacing w:before="0" w:after="20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Качественная подготовка к профессиональной деятельности обусловлена сочетанием учебной работой  и деятельности по профессиональному саморазвитию, их взаимосвязью и направленностью на профессиональное  и личностное развитие (компетентности, профессионального имиджа и творческого стиля деятельности) будущих учителей. Учебная деятельность создает фундамент, основу для профессионального саморазвития, обеспечивает необходимые условия для формирования готовности будущего учителя к систематической работе по профессиональному обогащению собственной личности. </w:t>
      </w:r>
    </w:p>
    <w:p>
      <w:pPr>
        <w:tabs>
          <w:tab w:val="left" w:pos="720" w:leader="none"/>
        </w:tabs>
        <w:spacing w:before="0" w:after="20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Природа профессионального саморазвития такова, что являясь продуктом обучения, выступает следствием усилий будущего учителя по самоуправлению собственным  саморазвитием, самоутверждением и самовыражением в любом виде деятельности, в том числе и в профессиональном. Самоуправление собственным развитием расширяет профессиональный кругозор, компетентность, интеллектуальный потенциал личности, приводит требования профессии в соответствие с личностными потребностями, интересами и установками, развивает инициативу, самостоятельность, творческие стиль деятельности и активную профессиональную позицию будущих учителей.</w:t>
      </w:r>
    </w:p>
    <w:p>
      <w:pPr>
        <w:tabs>
          <w:tab w:val="left" w:pos="720" w:leader="none"/>
        </w:tabs>
        <w:spacing w:before="0" w:after="20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Профессиональное саморазвитие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процесс самоуправления и самосовершенствования, самоизменения состояния  и степени качества самопознания, самоорганизации, самоопределения, самооценки, самоконтроля и саморазвития личности, предполагающий высокий уровень готовности  творческому выполнению профессиональных функций  будущими учителями Профессиональное саморазвитие рассматривается как процесс самосозерцания, самопроектирования, самодостраивания собственного образа личности. Оно представляет собой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целенаправленное и целесообразное самоизменение личности, концептуально и нормативно определенное ею самой, реализуемое по личной инициативе и по доброй воле, посредством самоуправления самостоятельными действиями на основе рефлексивных механизмов. Процесс профессионального саморазвития, его эффективность определяется тем, насколько полностью реализуется управленческий аспект в учебной деятельности. Процессы управления и самоуправления тесно связаны между собой и взаимообусловлены. Это далеко не самопроизвольные, стихийные процессы. Они сложны тем, что постоянно изменяются под влиянием определенных условий и внешних обстоятельств. Их результативность в системе обучения и профессионального саморазвития личности будущего учителя определяется совокупностью педагогических условий, в которых осуществляется управление и самоуправление этими процессами. </w:t>
      </w:r>
    </w:p>
    <w:p>
      <w:pPr>
        <w:tabs>
          <w:tab w:val="left" w:pos="720" w:leader="none"/>
        </w:tabs>
        <w:spacing w:before="0" w:after="20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Среди условий наиболее эффективными являются: обеспечение информированности будущего учителя о сущности и механизмах управления и самоуправления, профессиональном саморазвитии и овладении личностно-значимыми способами  профессионального саморазвития; поддержка самодеятельного включения в активную творческую деятельность по преобразованию педагогической действительности и самого себя; ориентация вузовского  управления на профессиональное саморазвитие будущего учителя.</w:t>
      </w:r>
    </w:p>
    <w:p>
      <w:pPr>
        <w:tabs>
          <w:tab w:val="left" w:pos="720" w:leader="none"/>
        </w:tabs>
        <w:spacing w:before="0" w:after="20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ходе исследования были выявлены основные закономерности процесса профессионального саморазвития: чем выше личностный потенциал будущего учителя, его способность быть субъектом разных видов деятельности, тем эффективнее процесс его профессионального саморазвития; чем более созидательны результаты профессиональной деятельности будущего учителя, как творческой, тем увереннее он продвигается к профессиональной зрелости; чем активнее рефлексивная позиция будущего учителя в учебной деятельности и самовоспитании, тем выше его уровень профессионального саморазвития; чем выше уровень ценностного отношения будущего учителя к педагогической деятельности, тем интенсивнее процесс его духовно-нравственного самообогащения.</w:t>
      </w:r>
    </w:p>
    <w:p>
      <w:pPr>
        <w:spacing w:before="100" w:after="10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Выводы.</w:t>
      </w:r>
      <w:r>
        <w:rPr>
          <w:rFonts w:ascii="Times New Roman" w:hAnsi="Times New Roman" w:cs="Times New Roman" w:eastAsia="Times New Roman"/>
          <w:color w:val="auto"/>
          <w:spacing w:val="0"/>
          <w:position w:val="0"/>
          <w:sz w:val="28"/>
          <w:shd w:fill="auto" w:val="clear"/>
        </w:rPr>
        <w:t xml:space="preserve"> Тесное взаимодействие процессов управления учебным и самообразовательным процессами служит основанием для профессионального саморазвития личности. Управление образовательным процессом должно плавно переходить в самоуправление работой будущего учителя над самим собой по обогащению личностного и профессионального потенциала собственной  личности. Собранные нами данные показали, что влияние управления и самоуправления на личностный рост приводит к увеличению показателей критерия ценностные установки будущего учителя на 40,1%; его творческой активности на 46,8%; рефлексия учебной деятельности и профессионального саморазвития на 10,8%. Доказано, если будущий учитель будет стремиться к профессиональному саморазвитию, то в самостоятельной деятельности  он способен будет воспитать новую личность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открытую к изменениям, готовую к саморазвитию и самоутверждению.</w:t>
      </w:r>
    </w:p>
    <w:p>
      <w:pPr>
        <w:spacing w:before="100" w:after="10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Список использованной литературы:</w:t>
      </w:r>
    </w:p>
    <w:p>
      <w:pPr>
        <w:spacing w:before="100" w:after="10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Айзенберг, А.Я. Самообразование: история, теория и современные проблемы: учеб. пособие для вузов / А.Я. Айзенберг.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Высшая школа, 1986.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128 </w:t>
      </w:r>
      <w:r>
        <w:rPr>
          <w:rFonts w:ascii="Times New Roman" w:hAnsi="Times New Roman" w:cs="Times New Roman" w:eastAsia="Times New Roman"/>
          <w:color w:val="auto"/>
          <w:spacing w:val="0"/>
          <w:position w:val="0"/>
          <w:sz w:val="28"/>
          <w:shd w:fill="auto" w:val="clear"/>
        </w:rPr>
        <w:t xml:space="preserve">с.</w:t>
      </w:r>
    </w:p>
    <w:p>
      <w:pPr>
        <w:spacing w:before="100" w:after="10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Берецков И.Г. пропедевтика самообразования в подготовке будущего учителя: учеб. пособие к спецкурсу. Челябинск, ЧГПИ, 1982.- 178с.</w:t>
      </w:r>
    </w:p>
    <w:p>
      <w:pPr>
        <w:spacing w:before="100" w:after="10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Конаржевский, Ю.А. Менеджмент и внутришколъное управление / Ю.А. Конаржевский.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Центр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Педагогический поиск</w:t>
      </w:r>
      <w:r>
        <w:rPr>
          <w:rFonts w:ascii="Times New Roman" w:hAnsi="Times New Roman" w:cs="Times New Roman" w:eastAsia="Times New Roman"/>
          <w:color w:val="auto"/>
          <w:spacing w:val="0"/>
          <w:position w:val="0"/>
          <w:sz w:val="28"/>
          <w:shd w:fill="auto" w:val="clear"/>
        </w:rPr>
        <w:t xml:space="preserve">», 2000. - 224 </w:t>
      </w:r>
      <w:r>
        <w:rPr>
          <w:rFonts w:ascii="Times New Roman" w:hAnsi="Times New Roman" w:cs="Times New Roman" w:eastAsia="Times New Roman"/>
          <w:color w:val="auto"/>
          <w:spacing w:val="0"/>
          <w:position w:val="0"/>
          <w:sz w:val="28"/>
          <w:shd w:fill="auto" w:val="clear"/>
        </w:rPr>
        <w:t xml:space="preserve">с.</w:t>
      </w:r>
    </w:p>
    <w:p>
      <w:pPr>
        <w:spacing w:before="0" w:after="20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Сластенин, В.А. Педагогика: учебник для студ. Высш. Учеб. заведений / В.А. Сластенин, И.Ф. Исаев, Е.Н. Шиянов; под ред.В.А. Сластёнина.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8-</w:t>
      </w:r>
      <w:r>
        <w:rPr>
          <w:rFonts w:ascii="Times New Roman" w:hAnsi="Times New Roman" w:cs="Times New Roman" w:eastAsia="Times New Roman"/>
          <w:color w:val="auto"/>
          <w:spacing w:val="0"/>
          <w:position w:val="0"/>
          <w:sz w:val="28"/>
          <w:shd w:fill="auto" w:val="clear"/>
        </w:rPr>
        <w:t xml:space="preserve">е изд., стер.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Издат. Центр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Академия</w:t>
      </w:r>
      <w:r>
        <w:rPr>
          <w:rFonts w:ascii="Times New Roman" w:hAnsi="Times New Roman" w:cs="Times New Roman" w:eastAsia="Times New Roman"/>
          <w:color w:val="auto"/>
          <w:spacing w:val="0"/>
          <w:position w:val="0"/>
          <w:sz w:val="28"/>
          <w:shd w:fill="auto" w:val="clear"/>
        </w:rPr>
        <w:t xml:space="preserve">», 2008.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576 </w:t>
      </w:r>
      <w:r>
        <w:rPr>
          <w:rFonts w:ascii="Times New Roman" w:hAnsi="Times New Roman" w:cs="Times New Roman" w:eastAsia="Times New Roman"/>
          <w:color w:val="auto"/>
          <w:spacing w:val="0"/>
          <w:position w:val="0"/>
          <w:sz w:val="28"/>
          <w:shd w:fill="auto" w:val="clear"/>
        </w:rPr>
        <w:t xml:space="preserve">с.</w:t>
      </w:r>
    </w:p>
    <w:p>
      <w:pPr>
        <w:spacing w:before="0" w:after="200" w:line="240"/>
        <w:ind w:right="0" w:left="0" w:firstLine="709"/>
        <w:jc w:val="both"/>
        <w:rPr>
          <w:rFonts w:ascii="Times New Roman" w:hAnsi="Times New Roman" w:cs="Times New Roman" w:eastAsia="Times New Roman"/>
          <w:i/>
          <w:color w:val="auto"/>
          <w:spacing w:val="0"/>
          <w:position w:val="0"/>
          <w:sz w:val="28"/>
          <w:shd w:fill="auto" w:val="clear"/>
        </w:rPr>
      </w:pPr>
    </w:p>
    <w:p>
      <w:pPr>
        <w:spacing w:before="0" w:after="200" w:line="240"/>
        <w:ind w:right="0" w:left="0" w:firstLine="709"/>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Л.Кондрашова. Управління і самоуправління як засіб ефективного професійного саморозвитку особистості майбутнього вчителя</w:t>
      </w:r>
    </w:p>
    <w:p>
      <w:pPr>
        <w:spacing w:before="0" w:after="20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Анотація. </w:t>
      </w:r>
      <w:r>
        <w:rPr>
          <w:rFonts w:ascii="Times New Roman" w:hAnsi="Times New Roman" w:cs="Times New Roman" w:eastAsia="Times New Roman"/>
          <w:i/>
          <w:color w:val="auto"/>
          <w:spacing w:val="0"/>
          <w:position w:val="0"/>
          <w:sz w:val="28"/>
          <w:shd w:fill="auto" w:val="clear"/>
        </w:rPr>
        <w:t xml:space="preserve">У статті розглядаються можливості управління і самоуправління в підвищенні ефективності професійного становлення майбутніх учителів у системі університетської освіти; розкривається їх сутність управління і самоуправління, показана їх взаємодія і взаємообумовленість, закономірності, педагогічні умови, яки позитивно впливають на професійний саморозвиток майбутніх вчителів; показано динаміка показників професійного саморозвитку майбутнього вчителя в позитивний бік.</w:t>
      </w:r>
    </w:p>
    <w:p>
      <w:pPr>
        <w:spacing w:before="0" w:after="20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Ключові слова:</w:t>
      </w:r>
      <w:r>
        <w:rPr>
          <w:rFonts w:ascii="Times New Roman" w:hAnsi="Times New Roman" w:cs="Times New Roman" w:eastAsia="Times New Roman"/>
          <w:i/>
          <w:color w:val="auto"/>
          <w:spacing w:val="0"/>
          <w:position w:val="0"/>
          <w:sz w:val="28"/>
          <w:shd w:fill="auto" w:val="clear"/>
        </w:rPr>
        <w:t xml:space="preserve"> управління, самоуправління, професійний саморозвиток, педагогічні умови</w:t>
      </w:r>
    </w:p>
    <w:p>
      <w:pPr>
        <w:spacing w:before="0" w:after="200" w:line="240"/>
        <w:ind w:right="0" w:left="0" w:firstLine="709"/>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Л.Кондрашова. Управление и самоуправление как средство эффективного профессионального саморазвития личности будущего учителя</w:t>
      </w:r>
    </w:p>
    <w:p>
      <w:pPr>
        <w:spacing w:before="0" w:after="20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Аннотация. </w:t>
      </w:r>
      <w:r>
        <w:rPr>
          <w:rFonts w:ascii="Times New Roman" w:hAnsi="Times New Roman" w:cs="Times New Roman" w:eastAsia="Times New Roman"/>
          <w:i/>
          <w:color w:val="auto"/>
          <w:spacing w:val="0"/>
          <w:position w:val="0"/>
          <w:sz w:val="28"/>
          <w:shd w:fill="auto" w:val="clear"/>
        </w:rPr>
        <w:t xml:space="preserve">В статье рассматриваются возможности управления и самоуправления в повышении эффективности профессионального становления будущих учителей в системе университетского образования; раскрывается сущность управления и самоуправления, показаны их взаимодействие и взаимообусловленность, закономерности, педагогические условия, которые позитивно влияют на динамику показателей профессионального саморазвития будущего учителя в позитивную сторону.</w:t>
      </w:r>
    </w:p>
    <w:p>
      <w:pPr>
        <w:spacing w:before="0" w:after="200" w:line="360"/>
        <w:ind w:right="0" w:left="0" w:firstLine="567"/>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Ключевые слова: </w:t>
      </w:r>
      <w:r>
        <w:rPr>
          <w:rFonts w:ascii="Calibri" w:hAnsi="Calibri" w:cs="Calibri" w:eastAsia="Calibri"/>
          <w:color w:val="auto"/>
          <w:spacing w:val="0"/>
          <w:position w:val="0"/>
          <w:sz w:val="28"/>
          <w:shd w:fill="auto" w:val="clear"/>
        </w:rPr>
        <w:t xml:space="preserve">управление, самоуправление, профессиональное саморазвитие, педагогические условия</w:t>
      </w:r>
    </w:p>
    <w:p>
      <w:pPr>
        <w:spacing w:before="0" w:after="200" w:line="360"/>
        <w:ind w:right="0" w:left="0" w:firstLine="567"/>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Abstract</w:t>
      </w:r>
      <w:r>
        <w:rPr>
          <w:rFonts w:ascii="Calibri" w:hAnsi="Calibri" w:cs="Calibri" w:eastAsia="Calibri"/>
          <w:color w:val="auto"/>
          <w:spacing w:val="0"/>
          <w:position w:val="0"/>
          <w:sz w:val="28"/>
          <w:shd w:fill="auto" w:val="clear"/>
        </w:rPr>
        <w:t xml:space="preserve">. This article discusses the possibility of self-control and to improve the effectiveness of professional development of future teachers in the university system; reveals the essence of control and self-management, showing their interaction and interdependence, patterns, pedagogical conditions that have a positive impact on the dynamics of the professional self-development of the future teacher in a positive direction. </w:t>
      </w:r>
    </w:p>
    <w:p>
      <w:pPr>
        <w:spacing w:before="0" w:after="200" w:line="360"/>
        <w:ind w:right="0" w:left="0" w:firstLine="567"/>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Keywords: </w:t>
      </w:r>
      <w:r>
        <w:rPr>
          <w:rFonts w:ascii="Calibri" w:hAnsi="Calibri" w:cs="Calibri" w:eastAsia="Calibri"/>
          <w:color w:val="auto"/>
          <w:spacing w:val="0"/>
          <w:position w:val="0"/>
          <w:sz w:val="28"/>
          <w:shd w:fill="auto" w:val="clear"/>
        </w:rPr>
        <w:t xml:space="preserve">management, self-management, professional self-development, pedagogical conditions</w:t>
      </w:r>
    </w:p>
    <w:p>
      <w:pPr>
        <w:spacing w:before="0" w:after="200" w:line="360"/>
        <w:ind w:right="0" w:left="0" w:firstLine="567"/>
        <w:jc w:val="both"/>
        <w:rPr>
          <w:rFonts w:ascii="Calibri" w:hAnsi="Calibri" w:cs="Calibri" w:eastAsia="Calibri"/>
          <w:color w:val="auto"/>
          <w:spacing w:val="0"/>
          <w:position w:val="0"/>
          <w:sz w:val="28"/>
          <w:shd w:fill="auto" w:val="clear"/>
        </w:rPr>
      </w:pPr>
    </w:p>
    <w:p>
      <w:pPr>
        <w:spacing w:before="0" w:after="200" w:line="360"/>
        <w:ind w:right="0" w:left="0" w:firstLine="567"/>
        <w:jc w:val="both"/>
        <w:rPr>
          <w:rFonts w:ascii="Calibri" w:hAnsi="Calibri" w:cs="Calibri" w:eastAsia="Calibri"/>
          <w:color w:val="auto"/>
          <w:spacing w:val="0"/>
          <w:position w:val="0"/>
          <w:sz w:val="28"/>
          <w:shd w:fill="auto" w:val="clear"/>
        </w:rPr>
      </w:pPr>
    </w:p>
    <w:p>
      <w:pPr>
        <w:spacing w:before="0" w:after="200" w:line="360"/>
        <w:ind w:right="0" w:left="0" w:firstLine="567"/>
        <w:jc w:val="both"/>
        <w:rPr>
          <w:rFonts w:ascii="Calibri" w:hAnsi="Calibri" w:cs="Calibri" w:eastAsia="Calibri"/>
          <w:color w:val="auto"/>
          <w:spacing w:val="0"/>
          <w:position w:val="0"/>
          <w:sz w:val="28"/>
          <w:shd w:fill="auto" w:val="clear"/>
        </w:rPr>
      </w:pPr>
    </w:p>
    <w:p>
      <w:pPr>
        <w:spacing w:before="0" w:after="200" w:line="360"/>
        <w:ind w:right="0" w:left="0" w:firstLine="567"/>
        <w:jc w:val="both"/>
        <w:rPr>
          <w:rFonts w:ascii="Calibri" w:hAnsi="Calibri" w:cs="Calibri" w:eastAsia="Calibri"/>
          <w:color w:val="auto"/>
          <w:spacing w:val="0"/>
          <w:position w:val="0"/>
          <w:sz w:val="28"/>
          <w:shd w:fill="auto" w:val="clear"/>
        </w:rPr>
      </w:pPr>
    </w:p>
    <w:p>
      <w:pPr>
        <w:spacing w:before="0" w:after="200" w:line="360"/>
        <w:ind w:right="0" w:left="0" w:firstLine="567"/>
        <w:jc w:val="both"/>
        <w:rPr>
          <w:rFonts w:ascii="Calibri" w:hAnsi="Calibri" w:cs="Calibri" w:eastAsia="Calibri"/>
          <w:color w:val="auto"/>
          <w:spacing w:val="0"/>
          <w:position w:val="0"/>
          <w:sz w:val="28"/>
          <w:shd w:fill="auto" w:val="clear"/>
        </w:rPr>
      </w:pPr>
    </w:p>
    <w:p>
      <w:pPr>
        <w:spacing w:before="0" w:after="200" w:line="360"/>
        <w:ind w:right="0" w:left="0" w:firstLine="567"/>
        <w:jc w:val="both"/>
        <w:rPr>
          <w:rFonts w:ascii="Calibri" w:hAnsi="Calibri" w:cs="Calibri" w:eastAsia="Calibri"/>
          <w:color w:val="auto"/>
          <w:spacing w:val="0"/>
          <w:position w:val="0"/>
          <w:sz w:val="28"/>
          <w:shd w:fill="auto" w:val="clear"/>
        </w:rPr>
      </w:pPr>
    </w:p>
    <w:p>
      <w:pPr>
        <w:spacing w:before="0" w:after="200" w:line="360"/>
        <w:ind w:right="0" w:left="0" w:firstLine="567"/>
        <w:jc w:val="both"/>
        <w:rPr>
          <w:rFonts w:ascii="Calibri" w:hAnsi="Calibri" w:cs="Calibri" w:eastAsia="Calibri"/>
          <w:color w:val="auto"/>
          <w:spacing w:val="0"/>
          <w:position w:val="0"/>
          <w:sz w:val="28"/>
          <w:shd w:fill="auto" w:val="clear"/>
        </w:rPr>
      </w:pPr>
    </w:p>
    <w:p>
      <w:pPr>
        <w:spacing w:before="0" w:after="200" w:line="360"/>
        <w:ind w:right="0" w:left="0" w:firstLine="567"/>
        <w:jc w:val="both"/>
        <w:rPr>
          <w:rFonts w:ascii="Calibri" w:hAnsi="Calibri" w:cs="Calibri" w:eastAsia="Calibri"/>
          <w:color w:val="auto"/>
          <w:spacing w:val="0"/>
          <w:position w:val="0"/>
          <w:sz w:val="28"/>
          <w:shd w:fill="auto" w:val="clear"/>
        </w:rPr>
      </w:pPr>
    </w:p>
    <w:p>
      <w:pPr>
        <w:spacing w:before="0" w:after="200" w:line="360"/>
        <w:ind w:right="0" w:left="0" w:firstLine="567"/>
        <w:jc w:val="both"/>
        <w:rPr>
          <w:rFonts w:ascii="Calibri" w:hAnsi="Calibri" w:cs="Calibri" w:eastAsia="Calibri"/>
          <w:color w:val="auto"/>
          <w:spacing w:val="0"/>
          <w:position w:val="0"/>
          <w:sz w:val="28"/>
          <w:shd w:fill="auto" w:val="clear"/>
        </w:rPr>
      </w:pPr>
    </w:p>
    <w:p>
      <w:pPr>
        <w:spacing w:before="0" w:after="200" w:line="360"/>
        <w:ind w:right="0" w:left="0" w:firstLine="567"/>
        <w:jc w:val="both"/>
        <w:rPr>
          <w:rFonts w:ascii="Calibri" w:hAnsi="Calibri" w:cs="Calibri" w:eastAsia="Calibri"/>
          <w:color w:val="auto"/>
          <w:spacing w:val="0"/>
          <w:position w:val="0"/>
          <w:sz w:val="28"/>
          <w:shd w:fill="auto" w:val="clear"/>
        </w:rPr>
      </w:pPr>
    </w:p>
    <w:p>
      <w:pPr>
        <w:spacing w:before="0" w:after="200" w:line="360"/>
        <w:ind w:right="0" w:left="0" w:firstLine="567"/>
        <w:jc w:val="both"/>
        <w:rPr>
          <w:rFonts w:ascii="Calibri" w:hAnsi="Calibri" w:cs="Calibri" w:eastAsia="Calibri"/>
          <w:color w:val="auto"/>
          <w:spacing w:val="0"/>
          <w:position w:val="0"/>
          <w:sz w:val="28"/>
          <w:shd w:fill="auto" w:val="clear"/>
        </w:rPr>
      </w:pPr>
    </w:p>
    <w:p>
      <w:pPr>
        <w:spacing w:before="0" w:after="200" w:line="360"/>
        <w:ind w:right="0" w:left="0" w:firstLine="567"/>
        <w:jc w:val="both"/>
        <w:rPr>
          <w:rFonts w:ascii="Calibri" w:hAnsi="Calibri" w:cs="Calibri" w:eastAsia="Calibri"/>
          <w:color w:val="auto"/>
          <w:spacing w:val="0"/>
          <w:position w:val="0"/>
          <w:sz w:val="28"/>
          <w:shd w:fill="auto" w:val="clear"/>
        </w:rPr>
      </w:pPr>
    </w:p>
    <w:p>
      <w:pPr>
        <w:spacing w:before="0" w:after="20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ЗАЯВКА УЧАСНИКА</w:t>
      </w:r>
    </w:p>
    <w:p>
      <w:pPr>
        <w:spacing w:before="0" w:after="200" w:line="240"/>
        <w:ind w:right="0" w:left="0" w:firstLine="600"/>
        <w:jc w:val="center"/>
        <w:rPr>
          <w:rFonts w:ascii="Calibri" w:hAnsi="Calibri" w:cs="Calibri" w:eastAsia="Calibri"/>
          <w:color w:val="auto"/>
          <w:spacing w:val="20"/>
          <w:position w:val="0"/>
          <w:sz w:val="28"/>
          <w:shd w:fill="auto" w:val="clear"/>
        </w:rPr>
      </w:pPr>
      <w:r>
        <w:rPr>
          <w:rFonts w:ascii="Calibri" w:hAnsi="Calibri" w:cs="Calibri" w:eastAsia="Calibri"/>
          <w:color w:val="auto"/>
          <w:spacing w:val="20"/>
          <w:position w:val="0"/>
          <w:sz w:val="28"/>
          <w:shd w:fill="auto" w:val="clear"/>
        </w:rPr>
        <w:t xml:space="preserve">на участь у Всеукраїнській науково-практичній </w:t>
      </w:r>
    </w:p>
    <w:p>
      <w:pPr>
        <w:spacing w:before="0" w:after="200" w:line="240"/>
        <w:ind w:right="0" w:left="0" w:firstLine="600"/>
        <w:jc w:val="center"/>
        <w:rPr>
          <w:rFonts w:ascii="Calibri" w:hAnsi="Calibri" w:cs="Calibri" w:eastAsia="Calibri"/>
          <w:color w:val="auto"/>
          <w:spacing w:val="20"/>
          <w:position w:val="0"/>
          <w:sz w:val="28"/>
          <w:shd w:fill="auto" w:val="clear"/>
        </w:rPr>
      </w:pPr>
      <w:r>
        <w:rPr>
          <w:rFonts w:ascii="Calibri" w:hAnsi="Calibri" w:cs="Calibri" w:eastAsia="Calibri"/>
          <w:color w:val="auto"/>
          <w:spacing w:val="20"/>
          <w:position w:val="0"/>
          <w:sz w:val="28"/>
          <w:shd w:fill="auto" w:val="clear"/>
        </w:rPr>
        <w:t xml:space="preserve">ІНТЕРНЕТ-конференції</w:t>
      </w:r>
    </w:p>
    <w:p>
      <w:pPr>
        <w:spacing w:before="0" w:after="200" w:line="276"/>
        <w:ind w:right="0" w:left="0" w:firstLine="60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ПЕДАГОГІЧНА ОСВІТА І НАУКА: ТРАДИЦІЇ, РЕАЛІЇ, ПЕРСПЕКТИВИ</w:t>
      </w:r>
    </w:p>
    <w:p>
      <w:pPr>
        <w:spacing w:before="0" w:after="200" w:line="276"/>
        <w:ind w:right="0" w:left="0" w:firstLine="60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Прізвище        Кондрашова              </w:t>
      </w:r>
    </w:p>
    <w:p>
      <w:pPr>
        <w:spacing w:before="0" w:after="200" w:line="276"/>
        <w:ind w:right="0" w:left="0" w:firstLine="60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Ім’я               Лідія </w:t>
      </w:r>
    </w:p>
    <w:p>
      <w:pPr>
        <w:spacing w:before="0" w:after="200" w:line="276"/>
        <w:ind w:right="0" w:left="0" w:firstLine="60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По-батькові   Валентинівна</w:t>
      </w:r>
    </w:p>
    <w:p>
      <w:pPr>
        <w:spacing w:before="0" w:after="200" w:line="276"/>
        <w:ind w:right="0" w:left="0" w:firstLine="60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Вчений ступінь        доктор педагогічних наук </w:t>
      </w:r>
    </w:p>
    <w:p>
      <w:pPr>
        <w:spacing w:before="0" w:after="200" w:line="276"/>
        <w:ind w:right="0" w:left="0" w:firstLine="60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Вчене звання      професор, Заслужений діяч науки і техніки України </w:t>
      </w:r>
    </w:p>
    <w:p>
      <w:pPr>
        <w:spacing w:before="0" w:after="200" w:line="276"/>
        <w:ind w:right="0" w:left="0" w:firstLine="60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Установа  Черкаський національний університет імені Богдана Хмельницького</w:t>
      </w:r>
    </w:p>
    <w:p>
      <w:pPr>
        <w:spacing w:before="0" w:after="200" w:line="360"/>
        <w:ind w:right="141" w:left="-426" w:firstLine="426"/>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Посада  професор кафедри педагогіки вищої школи і освітнього менеджменту ЧНУ ім. Богдана Хмельницького м. Черкаси</w:t>
      </w:r>
    </w:p>
    <w:p>
      <w:pPr>
        <w:spacing w:before="0" w:after="200" w:line="360"/>
        <w:ind w:right="0" w:left="0" w:firstLine="709"/>
        <w:jc w:val="both"/>
        <w:rPr>
          <w:rFonts w:ascii="Times New Roman" w:hAnsi="Times New Roman" w:cs="Times New Roman" w:eastAsia="Times New Roman"/>
          <w:b/>
          <w:color w:val="auto"/>
          <w:spacing w:val="0"/>
          <w:position w:val="0"/>
          <w:sz w:val="28"/>
          <w:shd w:fill="auto" w:val="clear"/>
        </w:rPr>
      </w:pPr>
      <w:r>
        <w:rPr>
          <w:rFonts w:ascii="Calibri" w:hAnsi="Calibri" w:cs="Calibri" w:eastAsia="Calibri"/>
          <w:color w:val="auto"/>
          <w:spacing w:val="0"/>
          <w:position w:val="0"/>
          <w:sz w:val="28"/>
          <w:shd w:fill="auto" w:val="clear"/>
        </w:rPr>
        <w:t xml:space="preserve">Назва матеріалів доповіді    </w:t>
      </w:r>
      <w:r>
        <w:rPr>
          <w:rFonts w:ascii="Times New Roman" w:hAnsi="Times New Roman" w:cs="Times New Roman" w:eastAsia="Times New Roman"/>
          <w:b/>
          <w:color w:val="auto"/>
          <w:spacing w:val="0"/>
          <w:position w:val="0"/>
          <w:sz w:val="28"/>
          <w:shd w:fill="auto" w:val="clear"/>
        </w:rPr>
        <w:t xml:space="preserve">Управління і самоуправління як засіб ефективного професійного саморозвитку особистості майбутнього вчителя</w:t>
      </w:r>
    </w:p>
    <w:p>
      <w:pPr>
        <w:spacing w:before="0" w:after="200" w:line="276"/>
        <w:ind w:right="0" w:left="0" w:firstLine="54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Секція   </w:t>
      </w:r>
      <w:r>
        <w:rPr>
          <w:rFonts w:ascii="Calibri" w:hAnsi="Calibri" w:cs="Calibri" w:eastAsia="Calibri"/>
          <w:b/>
          <w:color w:val="auto"/>
          <w:spacing w:val="0"/>
          <w:position w:val="0"/>
          <w:sz w:val="28"/>
          <w:shd w:fill="auto" w:val="clear"/>
        </w:rPr>
        <w:t xml:space="preserve">Світові тенденції організації професійної підготовки педагогічних кадрів у вищій школі.</w:t>
      </w:r>
    </w:p>
    <w:p>
      <w:pPr>
        <w:spacing w:before="0" w:after="200" w:line="276"/>
        <w:ind w:right="0" w:left="0" w:firstLine="60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Координати для контакту: </w:t>
      </w:r>
    </w:p>
    <w:p>
      <w:pPr>
        <w:spacing w:before="0" w:after="200" w:line="276"/>
        <w:ind w:right="0" w:left="0" w:firstLine="60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Індекс _50071_____</w:t>
      </w:r>
    </w:p>
    <w:p>
      <w:pPr>
        <w:spacing w:before="0" w:after="200" w:line="276"/>
        <w:ind w:right="0" w:left="0" w:firstLine="60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Адреса  м. Кривий Ріг, вул.. Мелешкіна, 43, кв. 44  </w:t>
      </w:r>
    </w:p>
    <w:p>
      <w:pPr>
        <w:spacing w:before="0" w:after="200" w:line="276"/>
        <w:ind w:right="0" w:left="0" w:firstLine="60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Телефон (роб., дом., моб.) 0 (564) 64-64-64 </w:t>
      </w:r>
    </w:p>
    <w:p>
      <w:pPr>
        <w:spacing w:before="0" w:after="200" w:line="276"/>
        <w:ind w:right="0" w:left="0" w:firstLine="60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Моб. Тел..   0677192963</w:t>
      </w:r>
    </w:p>
    <w:p>
      <w:pPr>
        <w:spacing w:before="0" w:after="200" w:line="276"/>
        <w:ind w:right="0" w:left="0" w:firstLine="60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Дата  </w:t>
        <w:tab/>
        <w:tab/>
        <w:tab/>
        <w:tab/>
        <w:t xml:space="preserve">Кондрашова</w:t>
        <w:tab/>
        <w:tab/>
        <w:tab/>
        <w:tab/>
        <w:t xml:space="preserve">   Підпис _____________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