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141" w:left="-426" w:firstLine="426"/>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FFFF00" w:val="clear"/>
        </w:rPr>
        <w:t xml:space="preserve">УДК 37.042.1                                                                               </w:t>
      </w:r>
    </w:p>
    <w:p>
      <w:pPr>
        <w:spacing w:before="0" w:after="0" w:line="360"/>
        <w:ind w:right="141" w:left="-426" w:firstLine="426"/>
        <w:jc w:val="center"/>
        <w:rPr>
          <w:rFonts w:ascii="Times New Roman" w:hAnsi="Times New Roman" w:cs="Times New Roman" w:eastAsia="Times New Roman"/>
          <w:b/>
          <w:color w:val="auto"/>
          <w:spacing w:val="0"/>
          <w:position w:val="0"/>
          <w:sz w:val="28"/>
          <w:shd w:fill="auto" w:val="clear"/>
        </w:rPr>
      </w:pPr>
      <w:r>
        <w:rPr>
          <w:rFonts w:ascii="Arial" w:hAnsi="Arial" w:cs="Arial" w:eastAsia="Arial"/>
          <w:b/>
          <w:color w:val="auto"/>
          <w:spacing w:val="0"/>
          <w:position w:val="0"/>
          <w:sz w:val="24"/>
          <w:shd w:fill="auto" w:val="clear"/>
        </w:rPr>
        <w:t xml:space="preserve">Миколай </w:t>
      </w:r>
      <w:r>
        <w:rPr>
          <w:rFonts w:ascii="Times New Roman" w:hAnsi="Times New Roman" w:cs="Times New Roman" w:eastAsia="Times New Roman"/>
          <w:b/>
          <w:color w:val="auto"/>
          <w:spacing w:val="0"/>
          <w:position w:val="0"/>
          <w:sz w:val="28"/>
          <w:shd w:fill="auto" w:val="clear"/>
        </w:rPr>
        <w:t xml:space="preserve">Кондрашов</w:t>
      </w:r>
    </w:p>
    <w:p>
      <w:pPr>
        <w:spacing w:before="0" w:after="0" w:line="360"/>
        <w:ind w:right="141" w:left="-426" w:firstLine="426"/>
        <w:jc w:val="center"/>
        <w:rPr>
          <w:rFonts w:ascii="Times New Roman" w:hAnsi="Times New Roman" w:cs="Times New Roman" w:eastAsia="Times New Roman"/>
          <w:b/>
          <w:color w:val="auto"/>
          <w:spacing w:val="0"/>
          <w:position w:val="0"/>
          <w:sz w:val="28"/>
          <w:shd w:fill="auto" w:val="clear"/>
        </w:rPr>
      </w:pPr>
    </w:p>
    <w:p>
      <w:pPr>
        <w:spacing w:before="0" w:after="0" w:line="360"/>
        <w:ind w:right="141" w:left="-426" w:firstLine="426"/>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УПРАВЛІННЯ ФОРМУВАННЯМ ПРФЕСІЙНОЇ ПОЗИЦІЇ ЯК ПРОЦЕС ПІДГОТОВКИ СТУДЕНТІВ ДО ВЧИТЕЛЬСКОЇ ПРАЦІ</w:t>
      </w:r>
    </w:p>
    <w:p>
      <w:pPr>
        <w:spacing w:before="0" w:after="0" w:line="360"/>
        <w:ind w:right="141" w:left="-426" w:firstLine="426"/>
        <w:jc w:val="center"/>
        <w:rPr>
          <w:rFonts w:ascii="Times New Roman" w:hAnsi="Times New Roman" w:cs="Times New Roman" w:eastAsia="Times New Roman"/>
          <w:b/>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Постановка проблеми у загальному  вигляді. </w:t>
      </w:r>
      <w:r>
        <w:rPr>
          <w:rFonts w:ascii="Times New Roman" w:hAnsi="Times New Roman" w:cs="Times New Roman" w:eastAsia="Times New Roman"/>
          <w:color w:val="auto"/>
          <w:spacing w:val="0"/>
          <w:position w:val="0"/>
          <w:sz w:val="28"/>
          <w:shd w:fill="auto" w:val="clear"/>
        </w:rPr>
        <w:t xml:space="preserve">Сьогодні необхідна нова кадрова політика, особливо у підготовці педагогічних кадрів. Реформування вищої школи повинно бути орієнтоване на зміст, цінності, активну професійну позицію майбутніх учителів. Рішення цієї задачі обумовлює пошук нових шляхів підвищення управлінських функцій навчального процесу у вищої школі.</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Аналіз останніх досліджень та публікацій. </w:t>
      </w:r>
      <w:r>
        <w:rPr>
          <w:rFonts w:ascii="Times New Roman" w:hAnsi="Times New Roman" w:cs="Times New Roman" w:eastAsia="Times New Roman"/>
          <w:color w:val="auto"/>
          <w:spacing w:val="0"/>
          <w:position w:val="0"/>
          <w:sz w:val="28"/>
          <w:shd w:fill="auto" w:val="clear"/>
        </w:rPr>
        <w:t xml:space="preserve">Різні аспекти управління сучасними  освітніми процесами і системами знайшли відображення в працях В.Бондаря, Е.Гусинського, М.Гриньової, Г.Єльникової, Л.Калініної, Л.Карамушки, В.Кременя, В.Маслова, В.Пікельної, Т.Сорочан та ін. Державні документи та нормативні акти про освіту підтверджують необхідність подальших пошуків засобів підвищення управлінського аспекту підготовки педагогічних кадрів.</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Мета статті. </w:t>
      </w:r>
      <w:r>
        <w:rPr>
          <w:rFonts w:ascii="Times New Roman" w:hAnsi="Times New Roman" w:cs="Times New Roman" w:eastAsia="Times New Roman"/>
          <w:color w:val="auto"/>
          <w:spacing w:val="0"/>
          <w:position w:val="0"/>
          <w:sz w:val="28"/>
          <w:shd w:fill="auto" w:val="clear"/>
        </w:rPr>
        <w:t xml:space="preserve">У статті розглядається управлінський аспект програми формування професійної позиції майбутніх учителів у навчальному процесі університету</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Виклад основного матеріалу дослідження. </w:t>
      </w:r>
      <w:r>
        <w:rPr>
          <w:rFonts w:ascii="Times New Roman" w:hAnsi="Times New Roman" w:cs="Times New Roman" w:eastAsia="Times New Roman"/>
          <w:color w:val="auto"/>
          <w:spacing w:val="0"/>
          <w:position w:val="0"/>
          <w:sz w:val="28"/>
          <w:shd w:fill="auto" w:val="clear"/>
        </w:rPr>
        <w:t xml:space="preserve">Проблема якості підготовки педагогічних кадрів посилює увагу дослідників до управлінських аспектів навчального процесу університету. Управління навчальним процесом спрямовано на вирішення завдань:</w:t>
      </w:r>
    </w:p>
    <w:p>
      <w:pPr>
        <w:numPr>
          <w:ilvl w:val="0"/>
          <w:numId w:val="7"/>
        </w:numPr>
        <w:tabs>
          <w:tab w:val="left" w:pos="1260" w:leader="none"/>
          <w:tab w:val="left" w:pos="16777036" w:leader="none"/>
        </w:tabs>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проектування навчального процесу на нових світоглядних та ціннісних засадах;</w:t>
      </w:r>
    </w:p>
    <w:p>
      <w:pPr>
        <w:numPr>
          <w:ilvl w:val="0"/>
          <w:numId w:val="7"/>
        </w:numPr>
        <w:tabs>
          <w:tab w:val="left" w:pos="1260" w:leader="none"/>
          <w:tab w:val="left" w:pos="0" w:leader="none"/>
        </w:tabs>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визначення по кожної навчальної дисципліні базових предметних компетенції;</w:t>
      </w:r>
    </w:p>
    <w:p>
      <w:pPr>
        <w:numPr>
          <w:ilvl w:val="0"/>
          <w:numId w:val="7"/>
        </w:numPr>
        <w:tabs>
          <w:tab w:val="left" w:pos="1260" w:leader="none"/>
          <w:tab w:val="left" w:pos="0" w:leader="none"/>
        </w:tabs>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забезпечення практико-спрямованого і особистісно-орієнтованого змісту освіти на кожному курсі навчання студентів;</w:t>
      </w:r>
    </w:p>
    <w:p>
      <w:pPr>
        <w:numPr>
          <w:ilvl w:val="0"/>
          <w:numId w:val="7"/>
        </w:numPr>
        <w:tabs>
          <w:tab w:val="left" w:pos="1260" w:leader="none"/>
          <w:tab w:val="left" w:pos="0" w:leader="none"/>
        </w:tabs>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впровадження інформаційно-комунікативних і рольових технологій у навчальний процес;</w:t>
      </w:r>
    </w:p>
    <w:p>
      <w:pPr>
        <w:numPr>
          <w:ilvl w:val="0"/>
          <w:numId w:val="7"/>
        </w:numPr>
        <w:tabs>
          <w:tab w:val="left" w:pos="1260" w:leader="none"/>
          <w:tab w:val="left" w:pos="0" w:leader="none"/>
        </w:tabs>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продуктивне творче співробітництво викладача і студентів;</w:t>
      </w:r>
    </w:p>
    <w:p>
      <w:pPr>
        <w:numPr>
          <w:ilvl w:val="0"/>
          <w:numId w:val="7"/>
        </w:numPr>
        <w:tabs>
          <w:tab w:val="left" w:pos="1260" w:leader="none"/>
          <w:tab w:val="left" w:pos="0" w:leader="none"/>
        </w:tabs>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реалізація у процесі навчання парадигми безперервного професійного розвитку студентів;</w:t>
      </w:r>
    </w:p>
    <w:p>
      <w:pPr>
        <w:numPr>
          <w:ilvl w:val="0"/>
          <w:numId w:val="7"/>
        </w:numPr>
        <w:tabs>
          <w:tab w:val="left" w:pos="1260" w:leader="none"/>
          <w:tab w:val="left" w:pos="0" w:leader="none"/>
        </w:tabs>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стимулювання майбутніх учителів до самоосвітньої діяльності як важливої ланки їх професійного становлення. </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виходили з того, що механізмами забезпечення раціонального управління формуванням професійної позиції майбутніх учителів у процесі фахової підготовки є:</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реалізація дієво-ситуаційного підходу до організації фахової підготовки як стратегії управління формуванням професійної позиції майбутніх учителів;</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ознайомлення з методикою управлінських дій й прийняття управлінських рішень;</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участь в спілкуванні, педагогічна взаємодія і співпраця з учасниками педагогічного процесу, дотримання толерантності у вироблені ідей та прийнятті рішень;</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самостійне управління навчально-виховним процесом, визначення труднощів і шляхів їх зняття, економія навчального часу, дотримання принципів у створенні педагогічне керованого освітнього середовища  в студентської аудиторії.</w:t>
      </w:r>
    </w:p>
    <w:p>
      <w:pPr>
        <w:spacing w:before="0" w:after="0" w:line="360"/>
        <w:ind w:right="141" w:left="-426"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 вирішенні прогнозованих завдань важливу роль має розробка дослідної програми. Теоретичною  основою нашої програми є положення психологів про те, що свідомою людською дією є більш-менш свідоме рішення задач (С.Рубінштейн, Б.Ломов та ін.). З урахуванням цього положення  зміст фахової підготовки  структурувалося на основі подієво-ситуаційного, задачного і імітаційно-ігрового підходів.</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цьому враховувалося  те, що перебудова навчання на принципах педагогічної взаємодії та співробітництва сприятиме закріпленню творчого стилю діяльності та спілкування у майбутніх учителів. Акцент робився на зміну позиції студентів у процесі фахової підготовки з пасивних учасників в активних учасників і організаторів навчального процесу.</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розробці програми дослідної роботи дотримувалися наступні вимоги:</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довірчість у спілкуванні з учасниками педагогічного процесу;</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взаєморозуміння, без якого немає педагогічної взаємодії та співробітництва;</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психологічний контакт, який виникає на основі ділових і особистих зв’язків;</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здатність поєднувати педагогічний вплив з педагогічною взаємодією в системі відносин викладача і студентів.</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Дотримання цих вимог у процесі фахової підготовки майбутніх учителів активізувало управлінські дії викладача, що забезпечує створення умов для творчого спілкування учасників педагогічної діяльності, розвитку і закріплення у них умінь створювати атмосферу довіри, взаєморозуміння, творчого стилю діяльності. Механізмом управління діями студентів було моделювання подієво-рольових ситуацій у фахової підготовки , що сприяло закріпленню в них навичок аналізу педагогічних явищ, оволодінню технологією розв’язання педагогічних завдань, вибору оптимального поєднання форм і методів досягнення поставлених цілей.</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виходили з того, що майбутніх учителів важливо навчити:</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аналізу педагогічних фактів і явищ;</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проектуванню результату в зіставленні з вихідними даними;</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аналізу засобів досягнення поставлених завдань;</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плануванню, конструювання і здійснення навчально-виховного процесу;</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критичної оцінці отриманих результатів;</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постановці нових проблем [3, с.221].</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Досвідчені завдання будувалися з урахуванням рівня творчого зростання майбутніх учителів, до яких у науковій літературі відносять:</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рівень стихійного самовдосконалення, коли основу професійного становлення студентів становить досвід учителів-професіоналів;</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рівень планомірної реалізації, коли при визначенні своєї професійної позиції вони не обмежуються чужим досвідом, а накопичують власний досвід творчої діяльності і спілкування;</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рівень раціоналізації, коли майбутній вчитель опановує методику науково-дослідницької роботи, що формує його творчу позицію, готовність до нестандартної діяльності, педагогічних інновацій, потреб у новизні;</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рівень оптимізації процесу та результатів власної праці, коли своїми діями вчитель збагачує педагогічну практику і теорію.</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програму дослідної роботи включалися подієво-рольові ситуації, що дозволяло майбутнім учителям використовувати педагогічну теорію як інструмент практичної дії, розвивати творчій підхід до вирішення навчально-виховних завдань, демократичний стиль спілкування, відповідальне ставлення до вчительської праці. У дослідному навчанні використовувалися завдання-ситуації з метою приобретення студентами професійно-педагогічних знань і перетворення їх в інструмент практичних  дій.</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роботах А.Веpбицького, Л.Вовк,  І.Зязюна, Л.Кондрашової, В.Краєвського, О.Цокур та ін. акцент ставиться на структуруванні науково-теоретичного знання, способу використання теорії як засобу підвищення рівня професіоналізму майбутніх учителів. Головне - не в засвоєнні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готового знання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 усвідомленні майбутніми вчителями умов і шляхів оволодіння науковими знаннями, вміннями  адекватно їх використовувати для вирішення практичних задач, які виникають у шкільної дійсності.</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Особистіснй аспект змісту навчальних  дисциплін закріплює у майбутніх учителів бажання і потребу усвідомлювати   навчальний процес як механізм подієво-ситуаційного підходу до структурування навчальної інформації[2,с 327]. Предметне знання є засобом самореалізації сутнісних сил студента, містить у своєї основі потенціал розвитку його здібності адекватно діяти і сучасно орієнтуватися в професійних ситуаціях.</w:t>
      </w:r>
    </w:p>
    <w:p>
      <w:pPr>
        <w:tabs>
          <w:tab w:val="left" w:pos="6660" w:leader="none"/>
        </w:tabs>
        <w:spacing w:before="0" w:after="0" w:line="360"/>
        <w:ind w:right="0"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Якість фахової обумовлюється структурної організацією навчального матеріалу на принципах:</w:t>
      </w:r>
    </w:p>
    <w:p>
      <w:pPr>
        <w:tabs>
          <w:tab w:val="left" w:pos="6660" w:leader="none"/>
        </w:tabs>
        <w:spacing w:before="0" w:after="0" w:line="360"/>
        <w:ind w:right="0"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співвідносення в структурі педагогічного знання змістового (основної, проблемний, дополнительний, спеціальний навчальний матеріал) і  процесуально-дидактичного (цілевий, операційний, контрольний дидактичний матеріал)  блоків;</w:t>
      </w:r>
    </w:p>
    <w:p>
      <w:pPr>
        <w:tabs>
          <w:tab w:val="left" w:pos="6660" w:leader="none"/>
        </w:tabs>
        <w:spacing w:before="0" w:after="0" w:line="360"/>
        <w:ind w:right="0"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принцип діалогу, який дозволяє вспоминать, оцінивати, сравнивати, сопоставляти, обобщати в процесі вивчення теорії;</w:t>
      </w:r>
    </w:p>
    <w:p>
      <w:pPr>
        <w:tabs>
          <w:tab w:val="left" w:pos="6660" w:leader="none"/>
        </w:tabs>
        <w:spacing w:before="0" w:after="0" w:line="360"/>
        <w:ind w:right="0"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принцип емоційно-раціонального аналізу, який визначає структурування навчальної інформації у формі педагогічних ситуацій, дозволяє ємоційно пережити, усвідомити, переробити її в співідносинні з етапами: першого уявлення, емоційного співчуття і наукового осмислення;</w:t>
      </w:r>
    </w:p>
    <w:p>
      <w:pPr>
        <w:tabs>
          <w:tab w:val="left" w:pos="6660" w:leader="none"/>
        </w:tabs>
        <w:spacing w:before="0" w:after="0" w:line="360"/>
        <w:ind w:right="0"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принцип наукового плюралізму, який дозволяє знання здійснювати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розвитку, динаміки, з підгрунтям різних точек зору, різних підходів до вирішення навчальних проблем;</w:t>
      </w:r>
    </w:p>
    <w:p>
      <w:pPr>
        <w:tabs>
          <w:tab w:val="left" w:pos="6660" w:leader="none"/>
        </w:tabs>
        <w:spacing w:before="0" w:after="0" w:line="360"/>
        <w:ind w:right="0"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принцип інформаційно-аналітичної роботи, який передбачає систему завдань по перетворенню педагогічної інформації: сжатие її, перекомпонівку, виділення основних ідей, теорій, їх оцінку [1, с.72]. </w:t>
      </w:r>
    </w:p>
    <w:p>
      <w:pPr>
        <w:spacing w:before="0" w:after="0" w:line="360"/>
        <w:ind w:right="0"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Реалізація цих принципів в управлінні навчальним процесом у вищої школи обумовлена рівнем управлінської культури викладача вищої школи. Готовність викладача до управлінських дій сприяє вільному обміну думками, раціональному вирішенню навчальних проблем, стимулює творчість і відповідальність за прийняття рішень.</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Управління навчальним процесом у вищої школи обумовлено рівнем управлінської культури викладача вищої школи. Готовність викладача до управлінських дій сприяє вільному обміну думками, раціональному вирішенню навчальних проблем, стимулює творчість і відповідальність за прийняття рішень.</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Успіх управлінських дій й прийняття рішень обумовлені своєчасним аналізом раціональності планування і визначення організаційних форм. При цьому важливо з’ясувати призначення інформації, відкинути не суттєве, виділити головне, оцінити можливості її впливу на перебіг і результати і тільки потім приймати об</w:t>
      </w:r>
      <w:r>
        <w:rPr>
          <w:rFonts w:ascii="Times New Roman" w:hAnsi="Times New Roman" w:cs="Times New Roman" w:eastAsia="Times New Roman"/>
          <w:color w:val="auto"/>
          <w:spacing w:val="0"/>
          <w:position w:val="0"/>
          <w:sz w:val="28"/>
          <w:shd w:fill="auto" w:val="clear"/>
        </w:rPr>
        <w:t xml:space="preserve">ґрунтовані й оптимальні рішення.</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розробки програми навчання ми виходили з того, що процесу вивчення навчальних дисциплін важливо придати професійну спрямованість, поставити кожного майбутнього вчителя в таку навчальну ситуацію, в якої він міг бути активним, вільним в виборі своїх способів дій і рішення навчальних задач. На кожному занятті майбутній вчитель має бути знаходитися  в таких умовах, які стимулювали б розвиток його природного потенціалу, забезпечують розширення педагогічного кругозору, стимулювали оволодіння технологіями і досвідом педагогічної діяльності. Планування, організація і проведення  навчальних занять  пропонують виконання кожним майбутнім учителем складної і відповідальної ролі, яка дозволяла йому проявляти активність, індивідуально-психологічне особливості власної  особистості і творчий стиль діяльності. </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процесі програвання подієво-рольових ситуацій здійснюється переосмислення педагогічної теорії в плані професійних перспектив і підвищується її значимість у професійному розвитку майбутніх учителів.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цьому навчальна діяльність становіться не тільки формою засвоєння педагогічної теорії, але  і формою  реалізації  професійно-педагогічних норм в відносинах з іншими учасниками подієво-рольової ситуації.</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Саморегуляція у  ході  програвання різних ролей засновується на професійно-педагогічних категоріях, професійно-етичних нормах, що має важливу значущість   для формування професійної позиції майбутніх учителів. </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ході рольової діяльності забезпечується розвиток індивідуальних характеристик мотивації оволодіння педагогічними знаннями і творчим стилем діяльності.</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рольової діяльності визначаються  майбутніми вчителями ціннісні орієнтири їхньої професійно-моральної поведінки. Виконуючи   ролі, майбутній учитель оволодіває вмінням оцінювати не тільки результати своїх дій чи способів їхньої реалізації, але і  оцінкою своїх якостей і  дій інших учасників подієво-рольової ситуації як професіоналів.</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Управлінська позиція викладача на заняттях стимулює результативність фахової підготовки майбутніх учителів. Чітке використання управлінських функцій і дій оптимізує професійну  позицію студентів. Закріплення активної позиції майбутніх учителів позитивно впливає на якість їхньої фахової підготовки.</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Висновки.</w:t>
      </w:r>
      <w:r>
        <w:rPr>
          <w:rFonts w:ascii="Times New Roman" w:hAnsi="Times New Roman" w:cs="Times New Roman" w:eastAsia="Times New Roman"/>
          <w:color w:val="auto"/>
          <w:spacing w:val="0"/>
          <w:position w:val="0"/>
          <w:sz w:val="28"/>
          <w:shd w:fill="auto" w:val="clear"/>
        </w:rPr>
        <w:t xml:space="preserve"> Реалізація дослідної програми свідчить про те, що в університетської практиці має місце недооцінка управлінського аспекту навчального процесу. Зняття усіх вузьких міст в університетської освіті обумовлено підвищенням управлінської культури викладачів і цілеспрямованої підготовкою студентів до співуправління і самоуправління в навчальної діяльності.</w:t>
      </w:r>
    </w:p>
    <w:p>
      <w:pPr>
        <w:spacing w:before="0" w:after="0" w:line="360"/>
        <w:ind w:right="141" w:left="-426" w:firstLine="426"/>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використаних джерел</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Воронов В.В. Формы представления знания в педагогическом образовании/ В.В.Воронов// Педагогика.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1999. -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С.68-73 </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Кондрашова Л.В. Педагогика высшей школы: проблемы, поиски, решения [монографический очерк] / Л.В.Кондрашова.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Кривой Рог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Черкассы: ЧНУ имени Богдана Хмельницкого, 2014.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399</w:t>
      </w:r>
      <w:r>
        <w:rPr>
          <w:rFonts w:ascii="Times New Roman" w:hAnsi="Times New Roman" w:cs="Times New Roman" w:eastAsia="Times New Roman"/>
          <w:color w:val="auto"/>
          <w:spacing w:val="0"/>
          <w:position w:val="0"/>
          <w:sz w:val="28"/>
          <w:shd w:fill="auto" w:val="clear"/>
        </w:rPr>
        <w:t xml:space="preserve">с.</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Кондрашова Л.В. Высшая педагогическая школа и Болонский процесс: реалии и перспективы / Л.В.Кондрашова.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Кривой Рог, 2007.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474</w:t>
      </w:r>
      <w:r>
        <w:rPr>
          <w:rFonts w:ascii="Times New Roman" w:hAnsi="Times New Roman" w:cs="Times New Roman" w:eastAsia="Times New Roman"/>
          <w:color w:val="auto"/>
          <w:spacing w:val="0"/>
          <w:position w:val="0"/>
          <w:sz w:val="28"/>
          <w:shd w:fill="auto" w:val="clear"/>
        </w:rPr>
        <w:t xml:space="preserve">с.</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М.Кондрашов.  Управління формуванням професійної позиції як процес підготовки студентів до вчительської праці </w:t>
      </w: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Анотація.</w:t>
      </w:r>
      <w:r>
        <w:rPr>
          <w:rFonts w:ascii="Times New Roman" w:hAnsi="Times New Roman" w:cs="Times New Roman" w:eastAsia="Times New Roman"/>
          <w:i/>
          <w:color w:val="auto"/>
          <w:spacing w:val="0"/>
          <w:position w:val="0"/>
          <w:sz w:val="28"/>
          <w:shd w:fill="auto" w:val="clear"/>
        </w:rPr>
        <w:t xml:space="preserve"> У статті розкривається програма дослідної роботи по управлінню формуванням професійної позиції майбутніх учителів у процесі фахової підготовки в системі університетської освіти. Моделювання подієво-рольових ситуацій в навчальному процесі розглядається як механізм управлінської діяльності викладача и стратегії управління формуванням цього складного особистісного утворення  майбутніх учителів.</w:t>
      </w: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Ключові слова:</w:t>
      </w:r>
      <w:r>
        <w:rPr>
          <w:rFonts w:ascii="Times New Roman" w:hAnsi="Times New Roman" w:cs="Times New Roman" w:eastAsia="Times New Roman"/>
          <w:i/>
          <w:color w:val="auto"/>
          <w:spacing w:val="0"/>
          <w:position w:val="0"/>
          <w:sz w:val="28"/>
          <w:shd w:fill="auto" w:val="clear"/>
        </w:rPr>
        <w:t xml:space="preserve"> управління, механізм управління, подієво-рольова ситуація, фахова підготовка.</w:t>
      </w:r>
    </w:p>
    <w:p>
      <w:pPr>
        <w:spacing w:before="0" w:after="0" w:line="360"/>
        <w:ind w:right="141" w:left="-426" w:firstLine="426"/>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Н.Кондрашов.  Управление формированием профессиональной позицией как процесс подготовки студентов к учительскому труду</w:t>
      </w: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Аннотация. </w:t>
      </w:r>
      <w:r>
        <w:rPr>
          <w:rFonts w:ascii="Times New Roman" w:hAnsi="Times New Roman" w:cs="Times New Roman" w:eastAsia="Times New Roman"/>
          <w:i/>
          <w:color w:val="auto"/>
          <w:spacing w:val="0"/>
          <w:position w:val="0"/>
          <w:sz w:val="28"/>
          <w:shd w:fill="auto" w:val="clear"/>
        </w:rPr>
        <w:t xml:space="preserve">В статье рассматривается программа опытной работы по управлению формированием профессиональной позиции будущих учителей в процессе специальной подготовки в системе университетского образования. Моделирование событийно-ролевых ситуаций в учебном процессе рассматривается как механизм управленческой деятельности преподавателя и стратегии управления формированием этого сложного личностного образования будущих учителей.</w:t>
      </w: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Ключевые слова:</w:t>
      </w:r>
      <w:r>
        <w:rPr>
          <w:rFonts w:ascii="Times New Roman" w:hAnsi="Times New Roman" w:cs="Times New Roman" w:eastAsia="Times New Roman"/>
          <w:i/>
          <w:color w:val="auto"/>
          <w:spacing w:val="0"/>
          <w:position w:val="0"/>
          <w:sz w:val="28"/>
          <w:shd w:fill="auto" w:val="clear"/>
        </w:rPr>
        <w:t xml:space="preserve"> управление, механизм управления, событийно-ролевая ситуация, специальная підготовка.</w:t>
      </w: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Abstract</w:t>
      </w:r>
      <w:r>
        <w:rPr>
          <w:rFonts w:ascii="Times New Roman" w:hAnsi="Times New Roman" w:cs="Times New Roman" w:eastAsia="Times New Roman"/>
          <w:i/>
          <w:color w:val="auto"/>
          <w:spacing w:val="0"/>
          <w:position w:val="0"/>
          <w:sz w:val="28"/>
          <w:shd w:fill="auto" w:val="clear"/>
        </w:rPr>
        <w:t xml:space="preserve">. The article discusses the program of experimental work on the formation of a professional management position for future teachers in the course of special training in the university education system. Modelling event-role-playing situations in the learning process is seen as a mechanism for the management of the teacher and the management strategy formation of this complex personal education of future teachers. </w:t>
      </w: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Keywords: </w:t>
      </w:r>
      <w:r>
        <w:rPr>
          <w:rFonts w:ascii="Times New Roman" w:hAnsi="Times New Roman" w:cs="Times New Roman" w:eastAsia="Times New Roman"/>
          <w:i/>
          <w:color w:val="auto"/>
          <w:spacing w:val="0"/>
          <w:position w:val="0"/>
          <w:sz w:val="28"/>
          <w:shd w:fill="auto" w:val="clear"/>
        </w:rPr>
        <w:t xml:space="preserve">management, management mechanism, event-role-playing situation, special training.</w:t>
      </w: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360"/>
        <w:ind w:right="141" w:left="-426" w:firstLine="426"/>
        <w:jc w:val="both"/>
        <w:rPr>
          <w:rFonts w:ascii="Times New Roman" w:hAnsi="Times New Roman" w:cs="Times New Roman" w:eastAsia="Times New Roman"/>
          <w:i/>
          <w:color w:val="auto"/>
          <w:spacing w:val="0"/>
          <w:position w:val="0"/>
          <w:sz w:val="28"/>
          <w:shd w:fill="auto" w:val="clear"/>
        </w:rPr>
      </w:pPr>
    </w:p>
    <w:p>
      <w:pPr>
        <w:spacing w:before="0" w:after="0" w:line="240"/>
        <w:ind w:right="141" w:left="-426" w:firstLine="426"/>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ЗАЯВКА УЧАСНИКА</w:t>
      </w:r>
    </w:p>
    <w:p>
      <w:pPr>
        <w:spacing w:before="0" w:after="0" w:line="240"/>
        <w:ind w:right="0" w:left="0" w:firstLine="60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600"/>
        <w:jc w:val="center"/>
        <w:rPr>
          <w:rFonts w:ascii="Times New Roman" w:hAnsi="Times New Roman" w:cs="Times New Roman" w:eastAsia="Times New Roman"/>
          <w:color w:val="auto"/>
          <w:spacing w:val="20"/>
          <w:position w:val="0"/>
          <w:sz w:val="28"/>
          <w:shd w:fill="auto" w:val="clear"/>
        </w:rPr>
      </w:pPr>
      <w:r>
        <w:rPr>
          <w:rFonts w:ascii="Times New Roman" w:hAnsi="Times New Roman" w:cs="Times New Roman" w:eastAsia="Times New Roman"/>
          <w:color w:val="auto"/>
          <w:spacing w:val="20"/>
          <w:position w:val="0"/>
          <w:sz w:val="28"/>
          <w:shd w:fill="auto" w:val="clear"/>
        </w:rPr>
        <w:t xml:space="preserve">на участь у Всеукраїнській науково-практичній </w:t>
      </w:r>
    </w:p>
    <w:p>
      <w:pPr>
        <w:spacing w:before="0" w:after="0" w:line="240"/>
        <w:ind w:right="0" w:left="0" w:firstLine="600"/>
        <w:jc w:val="center"/>
        <w:rPr>
          <w:rFonts w:ascii="Times New Roman" w:hAnsi="Times New Roman" w:cs="Times New Roman" w:eastAsia="Times New Roman"/>
          <w:color w:val="auto"/>
          <w:spacing w:val="20"/>
          <w:position w:val="0"/>
          <w:sz w:val="28"/>
          <w:shd w:fill="auto" w:val="clear"/>
        </w:rPr>
      </w:pPr>
      <w:r>
        <w:rPr>
          <w:rFonts w:ascii="Times New Roman" w:hAnsi="Times New Roman" w:cs="Times New Roman" w:eastAsia="Times New Roman"/>
          <w:color w:val="auto"/>
          <w:spacing w:val="20"/>
          <w:position w:val="0"/>
          <w:sz w:val="28"/>
          <w:shd w:fill="auto" w:val="clear"/>
        </w:rPr>
        <w:t xml:space="preserve">ІНТЕРНЕТ-конференції</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0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ПЕДАГОГІЧНА ОСВІТА І НАУКА: ТРАДИЦІЇ, РЕАЛІЇ, ПЕРСПЕКТИВИ</w:t>
      </w:r>
    </w:p>
    <w:p>
      <w:pPr>
        <w:spacing w:before="0" w:after="0" w:line="240"/>
        <w:ind w:right="0" w:left="0" w:firstLine="60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Прізвище        Кондрашов               __________________________</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Ім’я                Микола </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По-батькові    Миколайович   </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Вчений ступінь _не має    _______________________________________________</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Вчене звання   не має __________________________________________________</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Установа  Черкаський національний університет імені Богдана Хмельницького</w:t>
      </w:r>
    </w:p>
    <w:p>
      <w:pPr>
        <w:spacing w:before="0" w:after="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Посада  аспірант кафедри педагогіки вищої школи і освітнього менеджменту ЧНУ ім. Богдана Хмельницького м. Черкаси</w:t>
      </w:r>
    </w:p>
    <w:p>
      <w:pPr>
        <w:spacing w:before="0" w:after="0" w:line="360"/>
        <w:ind w:right="141" w:left="-426"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Назва матеріалів доповіді    </w:t>
      </w:r>
      <w:r>
        <w:rPr>
          <w:rFonts w:ascii="Times New Roman" w:hAnsi="Times New Roman" w:cs="Times New Roman" w:eastAsia="Times New Roman"/>
          <w:b/>
          <w:color w:val="auto"/>
          <w:spacing w:val="0"/>
          <w:position w:val="0"/>
          <w:sz w:val="28"/>
          <w:shd w:fill="auto" w:val="clear"/>
        </w:rPr>
        <w:t xml:space="preserve">Управління формуванням професійної позиції як процес підготовки студентів до вчительської праці </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Секція   </w:t>
      </w:r>
      <w:r>
        <w:rPr>
          <w:rFonts w:ascii="Times New Roman" w:hAnsi="Times New Roman" w:cs="Times New Roman" w:eastAsia="Times New Roman"/>
          <w:b/>
          <w:color w:val="auto"/>
          <w:spacing w:val="0"/>
          <w:position w:val="0"/>
          <w:sz w:val="28"/>
          <w:shd w:fill="auto" w:val="clear"/>
        </w:rPr>
        <w:t xml:space="preserve">Світові тенденції організації професійної підготовки педагогічних кадрів у вищій школі.</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0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Координати для контакту: </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Індекс _50071_____</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Адреса  м. Кривий Ріг, вул.. Мелешкіна, 43, кв. 44  _______________________________________________________</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Телефон (роб., дом., моб.) 0 (564) 64-64-64 </w:t>
      </w: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  </w:t>
        <w:tab/>
        <w:tab/>
        <w:tab/>
        <w:tab/>
        <w:t xml:space="preserve">Кондрашов</w:t>
        <w:tab/>
        <w:tab/>
        <w:tab/>
        <w:tab/>
        <w:t xml:space="preserve">   Підпис _______________</w:t>
      </w:r>
    </w:p>
    <w:p>
      <w:pPr>
        <w:spacing w:before="0" w:after="0" w:line="240"/>
        <w:ind w:right="141" w:left="-426" w:firstLine="426"/>
        <w:jc w:val="both"/>
        <w:rPr>
          <w:rFonts w:ascii="Times New Roman" w:hAnsi="Times New Roman" w:cs="Times New Roman" w:eastAsia="Times New Roman"/>
          <w:color w:val="auto"/>
          <w:spacing w:val="0"/>
          <w:position w:val="0"/>
          <w:sz w:val="24"/>
          <w:shd w:fill="auto" w:val="clear"/>
        </w:rPr>
      </w:pPr>
    </w:p>
    <w:p>
      <w:pPr>
        <w:spacing w:before="0" w:after="0" w:line="240"/>
        <w:ind w:right="141" w:left="-426" w:firstLine="426"/>
        <w:jc w:val="both"/>
        <w:rPr>
          <w:rFonts w:ascii="Times New Roman" w:hAnsi="Times New Roman" w:cs="Times New Roman" w:eastAsia="Times New Roman"/>
          <w:color w:val="auto"/>
          <w:spacing w:val="0"/>
          <w:position w:val="0"/>
          <w:sz w:val="24"/>
          <w:shd w:fill="auto" w:val="clear"/>
        </w:rPr>
      </w:pPr>
    </w:p>
    <w:p>
      <w:pPr>
        <w:spacing w:before="0" w:after="0" w:line="240"/>
        <w:ind w:right="141" w:left="-426" w:firstLine="426"/>
        <w:jc w:val="both"/>
        <w:rPr>
          <w:rFonts w:ascii="Times New Roman" w:hAnsi="Times New Roman" w:cs="Times New Roman" w:eastAsia="Times New Roman"/>
          <w:color w:val="auto"/>
          <w:spacing w:val="0"/>
          <w:position w:val="0"/>
          <w:sz w:val="24"/>
          <w:shd w:fill="auto" w:val="clear"/>
        </w:rPr>
      </w:pPr>
    </w:p>
    <w:p>
      <w:pPr>
        <w:spacing w:before="0" w:after="0" w:line="240"/>
        <w:ind w:right="141" w:left="-426" w:firstLine="426"/>
        <w:jc w:val="both"/>
        <w:rPr>
          <w:rFonts w:ascii="Times New Roman" w:hAnsi="Times New Roman" w:cs="Times New Roman" w:eastAsia="Times New Roman"/>
          <w:color w:val="auto"/>
          <w:spacing w:val="0"/>
          <w:position w:val="0"/>
          <w:sz w:val="24"/>
          <w:shd w:fill="auto" w:val="clear"/>
        </w:rPr>
      </w:pPr>
    </w:p>
    <w:p>
      <w:pPr>
        <w:spacing w:before="0" w:after="0" w:line="240"/>
        <w:ind w:right="141" w:left="-426" w:firstLine="426"/>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